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C7" w:rsidRPr="00EA3989" w:rsidRDefault="001F64C7" w:rsidP="00A411CB">
      <w:pPr>
        <w:spacing w:before="120" w:after="120"/>
        <w:jc w:val="center"/>
        <w:rPr>
          <w:b/>
          <w:bCs/>
        </w:rPr>
      </w:pPr>
      <w:bookmarkStart w:id="0" w:name="_GoBack"/>
      <w:bookmarkEnd w:id="0"/>
      <w:r w:rsidRPr="00EA3989">
        <w:rPr>
          <w:b/>
          <w:bCs/>
        </w:rPr>
        <w:t>KISA ÜRÜN BİLGİSİ</w:t>
      </w:r>
    </w:p>
    <w:p w:rsidR="001F64C7" w:rsidRPr="00EA3989" w:rsidRDefault="001F64C7" w:rsidP="00A411CB">
      <w:pPr>
        <w:spacing w:before="120" w:after="120"/>
        <w:jc w:val="both"/>
        <w:rPr>
          <w:b/>
          <w:bCs/>
        </w:rPr>
      </w:pPr>
      <w:r w:rsidRPr="00EA3989">
        <w:rPr>
          <w:b/>
          <w:bCs/>
        </w:rPr>
        <w:t xml:space="preserve">1. </w:t>
      </w:r>
      <w:r w:rsidRPr="00EA3989">
        <w:rPr>
          <w:b/>
          <w:bCs/>
        </w:rPr>
        <w:tab/>
        <w:t xml:space="preserve">BEŞERİ TIBBİ ÜRÜNÜN </w:t>
      </w:r>
      <w:smartTag w:uri="urn:schemas-microsoft-com:office:smarttags" w:element="stockticker">
        <w:r w:rsidRPr="00EA3989">
          <w:rPr>
            <w:b/>
            <w:bCs/>
          </w:rPr>
          <w:t>ADI</w:t>
        </w:r>
      </w:smartTag>
    </w:p>
    <w:p w:rsidR="001F64C7" w:rsidRPr="00EA3989" w:rsidRDefault="001F64C7" w:rsidP="00A411CB">
      <w:pPr>
        <w:spacing w:before="120" w:after="120"/>
        <w:jc w:val="both"/>
      </w:pPr>
      <w:r w:rsidRPr="00EA3989">
        <w:t xml:space="preserve">ZADITEN % 0.025 steril göz damlası </w:t>
      </w:r>
    </w:p>
    <w:p w:rsidR="001B45BD" w:rsidRPr="00EA3989" w:rsidRDefault="001B45BD" w:rsidP="00A411CB">
      <w:pPr>
        <w:spacing w:before="120" w:after="120"/>
        <w:jc w:val="both"/>
        <w:rPr>
          <w:b/>
          <w:bCs/>
        </w:rPr>
      </w:pPr>
    </w:p>
    <w:p w:rsidR="001F64C7" w:rsidRPr="00EA3989" w:rsidRDefault="001F64C7" w:rsidP="00A411CB">
      <w:pPr>
        <w:spacing w:before="120" w:after="120"/>
        <w:jc w:val="both"/>
        <w:rPr>
          <w:b/>
          <w:bCs/>
        </w:rPr>
      </w:pPr>
      <w:r w:rsidRPr="00EA3989">
        <w:rPr>
          <w:b/>
          <w:bCs/>
        </w:rPr>
        <w:t xml:space="preserve">2. </w:t>
      </w:r>
      <w:r w:rsidRPr="00EA3989">
        <w:rPr>
          <w:b/>
          <w:bCs/>
        </w:rPr>
        <w:tab/>
        <w:t>KALİTATİF VE KANTİTATİF BİLEŞİM</w:t>
      </w:r>
    </w:p>
    <w:p w:rsidR="001F64C7" w:rsidRPr="00EA3989" w:rsidRDefault="001F64C7" w:rsidP="00A411CB">
      <w:pPr>
        <w:spacing w:before="120" w:after="120"/>
        <w:jc w:val="both"/>
        <w:rPr>
          <w:b/>
          <w:bCs/>
        </w:rPr>
      </w:pPr>
      <w:r w:rsidRPr="00EA3989">
        <w:rPr>
          <w:b/>
          <w:bCs/>
        </w:rPr>
        <w:t>Etkin madde:</w:t>
      </w:r>
    </w:p>
    <w:p w:rsidR="001F64C7" w:rsidRPr="00EA3989" w:rsidRDefault="001F64C7" w:rsidP="00A411CB">
      <w:pPr>
        <w:pStyle w:val="Footer"/>
        <w:tabs>
          <w:tab w:val="left" w:pos="360"/>
        </w:tabs>
        <w:spacing w:before="120" w:after="120"/>
        <w:jc w:val="both"/>
      </w:pPr>
      <w:r w:rsidRPr="00EA3989">
        <w:t>1 ml çözeltide;</w:t>
      </w:r>
    </w:p>
    <w:p w:rsidR="001F64C7" w:rsidRPr="00EA3989" w:rsidRDefault="001F64C7" w:rsidP="00A411CB">
      <w:pPr>
        <w:pStyle w:val="Footer"/>
        <w:tabs>
          <w:tab w:val="left" w:pos="360"/>
        </w:tabs>
        <w:spacing w:before="120" w:after="120"/>
        <w:jc w:val="both"/>
      </w:pPr>
      <w:r w:rsidRPr="00EA3989">
        <w:t>Ketotifen</w:t>
      </w:r>
      <w:r w:rsidRPr="00EA3989">
        <w:tab/>
        <w:t xml:space="preserve">                                     0,25 mg (0,345 mg ketotifene hidrojen fumarat’a eşdeğer)</w:t>
      </w:r>
    </w:p>
    <w:p w:rsidR="001F64C7" w:rsidRPr="00EA3989" w:rsidRDefault="001F64C7" w:rsidP="00A411CB">
      <w:pPr>
        <w:spacing w:before="120" w:after="120"/>
        <w:jc w:val="both"/>
        <w:rPr>
          <w:b/>
          <w:bCs/>
        </w:rPr>
      </w:pPr>
      <w:r w:rsidRPr="00EA3989">
        <w:rPr>
          <w:b/>
          <w:bCs/>
        </w:rPr>
        <w:t>Yardımcı maddeler:</w:t>
      </w:r>
    </w:p>
    <w:p w:rsidR="001F64C7" w:rsidRPr="00EA3989" w:rsidRDefault="001F64C7" w:rsidP="00A411CB">
      <w:pPr>
        <w:spacing w:before="120" w:after="120"/>
        <w:jc w:val="both"/>
      </w:pPr>
      <w:r w:rsidRPr="00EA3989">
        <w:t>1 ml çözeltide;</w:t>
      </w:r>
    </w:p>
    <w:p w:rsidR="001F64C7" w:rsidRPr="00EA3989" w:rsidRDefault="001F64C7" w:rsidP="00A411CB">
      <w:pPr>
        <w:spacing w:before="120" w:after="120"/>
        <w:jc w:val="both"/>
      </w:pPr>
      <w:r w:rsidRPr="00EA3989">
        <w:t xml:space="preserve">Benzalkonyum klorür </w:t>
      </w:r>
      <w:r w:rsidRPr="00EA3989">
        <w:tab/>
        <w:t xml:space="preserve">      0,1 mg</w:t>
      </w:r>
    </w:p>
    <w:p w:rsidR="001F64C7" w:rsidRPr="00EA3989" w:rsidRDefault="001F64C7" w:rsidP="00A411CB">
      <w:pPr>
        <w:spacing w:before="120" w:after="120"/>
        <w:jc w:val="both"/>
      </w:pPr>
      <w:r w:rsidRPr="00EA3989">
        <w:t>Yardımcı maddeler için 6.1’e bakınız.</w:t>
      </w:r>
    </w:p>
    <w:p w:rsidR="001B45BD" w:rsidRPr="00EA3989" w:rsidRDefault="001B45BD" w:rsidP="00A411CB">
      <w:pPr>
        <w:spacing w:before="120" w:after="120"/>
        <w:jc w:val="both"/>
        <w:rPr>
          <w:b/>
          <w:bCs/>
        </w:rPr>
      </w:pPr>
    </w:p>
    <w:p w:rsidR="001F64C7" w:rsidRPr="00EA3989" w:rsidRDefault="001F64C7" w:rsidP="00A411CB">
      <w:pPr>
        <w:spacing w:before="120" w:after="120"/>
        <w:jc w:val="both"/>
        <w:rPr>
          <w:b/>
          <w:bCs/>
        </w:rPr>
      </w:pPr>
      <w:r w:rsidRPr="00EA3989">
        <w:rPr>
          <w:b/>
          <w:bCs/>
        </w:rPr>
        <w:t xml:space="preserve">3. </w:t>
      </w:r>
      <w:r w:rsidRPr="00EA3989">
        <w:rPr>
          <w:b/>
          <w:bCs/>
        </w:rPr>
        <w:tab/>
        <w:t xml:space="preserve">FARMASÖTİK </w:t>
      </w:r>
      <w:smartTag w:uri="urn:schemas-microsoft-com:office:smarttags" w:element="stockticker">
        <w:r w:rsidRPr="00EA3989">
          <w:rPr>
            <w:b/>
            <w:bCs/>
          </w:rPr>
          <w:t>FORM</w:t>
        </w:r>
      </w:smartTag>
    </w:p>
    <w:p w:rsidR="001F64C7" w:rsidRPr="00EA3989" w:rsidRDefault="001F64C7" w:rsidP="00A411CB">
      <w:pPr>
        <w:spacing w:before="120" w:after="120"/>
        <w:jc w:val="both"/>
      </w:pPr>
      <w:r w:rsidRPr="00EA3989">
        <w:t>Steril göz damlası, solüsyon</w:t>
      </w:r>
    </w:p>
    <w:p w:rsidR="001F64C7" w:rsidRPr="00EA3989" w:rsidRDefault="001F64C7" w:rsidP="00A411CB">
      <w:pPr>
        <w:spacing w:before="120" w:after="120"/>
        <w:jc w:val="both"/>
      </w:pPr>
      <w:r w:rsidRPr="00EA3989">
        <w:t>Berrak, renksiz veya soluk sarı solüsyon</w:t>
      </w:r>
    </w:p>
    <w:p w:rsidR="001B45BD" w:rsidRPr="00EA3989" w:rsidRDefault="001B45BD" w:rsidP="00A411CB">
      <w:pPr>
        <w:spacing w:before="120" w:after="120"/>
        <w:jc w:val="both"/>
        <w:rPr>
          <w:b/>
          <w:bCs/>
        </w:rPr>
      </w:pPr>
    </w:p>
    <w:p w:rsidR="001F64C7" w:rsidRPr="00EA3989" w:rsidRDefault="001F64C7" w:rsidP="00A411CB">
      <w:pPr>
        <w:spacing w:before="120" w:after="120"/>
        <w:jc w:val="both"/>
        <w:rPr>
          <w:b/>
          <w:bCs/>
        </w:rPr>
      </w:pPr>
      <w:r w:rsidRPr="00EA3989">
        <w:rPr>
          <w:b/>
          <w:bCs/>
        </w:rPr>
        <w:t xml:space="preserve">4. </w:t>
      </w:r>
      <w:r w:rsidRPr="00EA3989">
        <w:rPr>
          <w:b/>
          <w:bCs/>
        </w:rPr>
        <w:tab/>
        <w:t>KLİNİK ÖZELLİKLER</w:t>
      </w:r>
    </w:p>
    <w:p w:rsidR="001F64C7" w:rsidRPr="00EA3989" w:rsidRDefault="001F64C7" w:rsidP="00A411CB">
      <w:pPr>
        <w:spacing w:before="120" w:after="120"/>
        <w:jc w:val="both"/>
      </w:pPr>
      <w:r w:rsidRPr="00EA3989">
        <w:rPr>
          <w:b/>
          <w:bCs/>
        </w:rPr>
        <w:t xml:space="preserve">4.1 </w:t>
      </w:r>
      <w:r w:rsidRPr="00EA3989">
        <w:rPr>
          <w:b/>
          <w:bCs/>
        </w:rPr>
        <w:tab/>
        <w:t>Terapötik endikasyonlar</w:t>
      </w:r>
    </w:p>
    <w:p w:rsidR="001F64C7" w:rsidRPr="00EA3989" w:rsidRDefault="001F64C7" w:rsidP="00A411CB">
      <w:pPr>
        <w:spacing w:before="120" w:after="120"/>
        <w:jc w:val="both"/>
      </w:pPr>
      <w:r w:rsidRPr="00EA3989">
        <w:t>Alerjik konjunktivit semptomlarının tedavisinde endikedir.</w:t>
      </w:r>
    </w:p>
    <w:p w:rsidR="001F64C7" w:rsidRPr="00EA3989" w:rsidRDefault="001F64C7" w:rsidP="00A411CB">
      <w:pPr>
        <w:spacing w:before="120" w:after="120"/>
        <w:jc w:val="both"/>
        <w:rPr>
          <w:b/>
          <w:bCs/>
        </w:rPr>
      </w:pPr>
      <w:r w:rsidRPr="00EA3989">
        <w:rPr>
          <w:b/>
          <w:bCs/>
        </w:rPr>
        <w:t xml:space="preserve">4.2 </w:t>
      </w:r>
      <w:r w:rsidRPr="00EA3989">
        <w:rPr>
          <w:b/>
          <w:bCs/>
        </w:rPr>
        <w:tab/>
        <w:t>Pozoloji ve uygulama şekli</w:t>
      </w:r>
    </w:p>
    <w:p w:rsidR="001F64C7" w:rsidRPr="00EA3989" w:rsidRDefault="001F64C7" w:rsidP="00A411CB">
      <w:pPr>
        <w:spacing w:before="120" w:after="120"/>
        <w:jc w:val="both"/>
        <w:rPr>
          <w:b/>
          <w:bCs/>
        </w:rPr>
      </w:pPr>
      <w:r w:rsidRPr="00EA3989">
        <w:rPr>
          <w:b/>
          <w:bCs/>
        </w:rPr>
        <w:t>Pozoloji/uygulama sıklığı ve süresi:</w:t>
      </w:r>
    </w:p>
    <w:p w:rsidR="001F64C7" w:rsidRPr="00EA3989" w:rsidRDefault="001F64C7" w:rsidP="00A411CB">
      <w:pPr>
        <w:spacing w:before="120" w:after="120"/>
        <w:jc w:val="both"/>
      </w:pPr>
      <w:r w:rsidRPr="00EA3989">
        <w:t>Yetişkinler, yaşlılar ve çocuklarda (3 yaş ve üzeri): Konjunktival kese içine günde 2 defa 1 damla damlatılır.</w:t>
      </w:r>
    </w:p>
    <w:p w:rsidR="001F64C7" w:rsidRPr="00EA3989" w:rsidRDefault="001F64C7" w:rsidP="00A411CB">
      <w:pPr>
        <w:spacing w:before="120" w:after="120"/>
        <w:jc w:val="both"/>
        <w:rPr>
          <w:b/>
          <w:bCs/>
        </w:rPr>
      </w:pPr>
      <w:r w:rsidRPr="00EA3989">
        <w:rPr>
          <w:b/>
          <w:bCs/>
        </w:rPr>
        <w:t>Uygulama şekli:</w:t>
      </w:r>
    </w:p>
    <w:p w:rsidR="001F64C7" w:rsidRPr="00EA3989" w:rsidRDefault="001F64C7" w:rsidP="00A411CB">
      <w:pPr>
        <w:spacing w:before="120" w:after="120"/>
        <w:jc w:val="both"/>
      </w:pPr>
      <w:r w:rsidRPr="00EA3989">
        <w:t xml:space="preserve">Yalnız oftalmik kullanım içindir. Göze damlatılarak uygulanır. </w:t>
      </w:r>
    </w:p>
    <w:p w:rsidR="001F64C7" w:rsidRPr="00EA3989" w:rsidRDefault="001F64C7" w:rsidP="00A411CB">
      <w:pPr>
        <w:spacing w:before="120" w:after="120"/>
        <w:jc w:val="both"/>
      </w:pPr>
      <w:r w:rsidRPr="00EA3989">
        <w:t>Orjinal kapak açılıncaya kadar sterilitesini korur. Hastalar, damlalık ucuna dokunulmasının solüsyonu kontamine edebileceği konusunda uyarılmalıdırlar.</w:t>
      </w:r>
    </w:p>
    <w:p w:rsidR="001F64C7" w:rsidRPr="00EA3989" w:rsidRDefault="001F64C7" w:rsidP="00A411CB">
      <w:pPr>
        <w:spacing w:before="120" w:after="120"/>
        <w:jc w:val="both"/>
        <w:rPr>
          <w:b/>
          <w:bCs/>
        </w:rPr>
      </w:pPr>
      <w:r w:rsidRPr="00EA3989">
        <w:rPr>
          <w:b/>
          <w:bCs/>
        </w:rPr>
        <w:t>Özel popülasyonlara ilişkin ek bilgiler:</w:t>
      </w:r>
    </w:p>
    <w:p w:rsidR="001F64C7" w:rsidRPr="00EA3989" w:rsidRDefault="001F64C7" w:rsidP="00A411CB">
      <w:pPr>
        <w:spacing w:before="120" w:after="120"/>
        <w:jc w:val="both"/>
        <w:rPr>
          <w:b/>
          <w:bCs/>
        </w:rPr>
      </w:pPr>
      <w:r w:rsidRPr="00EA3989">
        <w:rPr>
          <w:b/>
          <w:bCs/>
        </w:rPr>
        <w:t xml:space="preserve">Böbrek/Karaciğer yetmezliği: </w:t>
      </w:r>
    </w:p>
    <w:p w:rsidR="001F64C7" w:rsidRPr="00EA3989" w:rsidRDefault="001F64C7" w:rsidP="00A411CB">
      <w:pPr>
        <w:spacing w:before="120" w:after="120"/>
        <w:jc w:val="both"/>
      </w:pPr>
      <w:r w:rsidRPr="00EA3989">
        <w:t xml:space="preserve">ZADITEN’in böbrek veya karaciğer yetmezliğinde etkinlik ve güvenliliği çalışılmamıştır. </w:t>
      </w:r>
    </w:p>
    <w:p w:rsidR="001F64C7" w:rsidRPr="00EA3989" w:rsidRDefault="001F64C7" w:rsidP="00A411CB">
      <w:pPr>
        <w:spacing w:before="120" w:after="120"/>
        <w:jc w:val="both"/>
      </w:pPr>
      <w:r w:rsidRPr="00EA3989">
        <w:rPr>
          <w:b/>
          <w:bCs/>
        </w:rPr>
        <w:t xml:space="preserve">Pediyatrik popülasyon: </w:t>
      </w:r>
    </w:p>
    <w:p w:rsidR="001F64C7" w:rsidRPr="00EA3989" w:rsidRDefault="001F64C7" w:rsidP="00A411CB">
      <w:pPr>
        <w:spacing w:before="120" w:after="120"/>
        <w:jc w:val="both"/>
      </w:pPr>
      <w:r w:rsidRPr="00EA3989">
        <w:t xml:space="preserve">ZADITEN’in 3 yaşın altındaki çocuklarda etkinlik ve güvenliliği gösterilmemiştir. </w:t>
      </w:r>
    </w:p>
    <w:p w:rsidR="001F64C7" w:rsidRPr="00EA3989" w:rsidRDefault="001F64C7" w:rsidP="00A411CB">
      <w:pPr>
        <w:spacing w:before="120" w:after="120"/>
        <w:jc w:val="both"/>
        <w:rPr>
          <w:b/>
          <w:bCs/>
        </w:rPr>
      </w:pPr>
      <w:r w:rsidRPr="00EA3989">
        <w:rPr>
          <w:b/>
          <w:bCs/>
        </w:rPr>
        <w:t xml:space="preserve">Geriyatrik popülasyon: </w:t>
      </w:r>
    </w:p>
    <w:p w:rsidR="001F64C7" w:rsidRPr="00EA3989" w:rsidRDefault="001F64C7" w:rsidP="00A411CB">
      <w:pPr>
        <w:spacing w:before="120" w:after="120"/>
        <w:jc w:val="both"/>
      </w:pPr>
      <w:r w:rsidRPr="00EA3989">
        <w:t xml:space="preserve">Yaşlılarda özel bir doz ayarlamasına gerek yoktur. </w:t>
      </w:r>
    </w:p>
    <w:p w:rsidR="001F64C7" w:rsidRPr="00EA3989" w:rsidRDefault="001F64C7" w:rsidP="00A411CB">
      <w:pPr>
        <w:spacing w:before="120" w:after="120"/>
        <w:jc w:val="both"/>
        <w:rPr>
          <w:b/>
          <w:bCs/>
        </w:rPr>
      </w:pPr>
      <w:r w:rsidRPr="00EA3989">
        <w:rPr>
          <w:b/>
          <w:bCs/>
        </w:rPr>
        <w:t xml:space="preserve">4.3 </w:t>
      </w:r>
      <w:r w:rsidRPr="00EA3989">
        <w:rPr>
          <w:b/>
          <w:bCs/>
        </w:rPr>
        <w:tab/>
        <w:t>Kontrendikasyonlar</w:t>
      </w:r>
    </w:p>
    <w:p w:rsidR="001F64C7" w:rsidRPr="00EA3989" w:rsidRDefault="001F64C7" w:rsidP="00A411CB">
      <w:pPr>
        <w:spacing w:before="120" w:after="120"/>
        <w:jc w:val="both"/>
      </w:pPr>
      <w:r w:rsidRPr="00EA3989">
        <w:lastRenderedPageBreak/>
        <w:t>Ketotifen veya yardımcı maddelerden herhangi birine karşı aşırı duyarlılığı olduğu bilinen hastalarda kontrendikedir.</w:t>
      </w:r>
    </w:p>
    <w:p w:rsidR="001F64C7" w:rsidRPr="00EA3989" w:rsidRDefault="001F64C7" w:rsidP="00A411CB">
      <w:pPr>
        <w:spacing w:before="120" w:after="120"/>
        <w:jc w:val="both"/>
        <w:rPr>
          <w:b/>
          <w:bCs/>
        </w:rPr>
      </w:pPr>
      <w:r w:rsidRPr="00EA3989">
        <w:rPr>
          <w:b/>
          <w:bCs/>
        </w:rPr>
        <w:t xml:space="preserve">4.4 </w:t>
      </w:r>
      <w:r w:rsidR="00A411CB" w:rsidRPr="00EA3989">
        <w:rPr>
          <w:b/>
          <w:bCs/>
        </w:rPr>
        <w:tab/>
      </w:r>
      <w:r w:rsidRPr="00EA3989">
        <w:rPr>
          <w:b/>
          <w:bCs/>
        </w:rPr>
        <w:t>Özel kullanım uyarıları ve önlemleri</w:t>
      </w:r>
    </w:p>
    <w:p w:rsidR="001F64C7" w:rsidRPr="00EA3989" w:rsidRDefault="001F64C7" w:rsidP="00A411CB">
      <w:pPr>
        <w:pStyle w:val="BodyTextIndent2"/>
        <w:tabs>
          <w:tab w:val="left" w:pos="720"/>
        </w:tabs>
        <w:spacing w:before="120" w:line="240" w:lineRule="exact"/>
        <w:ind w:left="0"/>
        <w:jc w:val="both"/>
      </w:pPr>
      <w:r w:rsidRPr="00EA3989">
        <w:t>ZADITEN koruyucu olarak yumuşak kontakt lenslerde birikebilen bir madde olan benzalkonyum klorür ihtiva eder; bu nedenle, ilacın damlatılması esnasında gözde kontakt lens bulunmamalıdır. İlaç damlatıldıktan en az 15 dakika sonra kontakt lensler tekrar göze takılabilir.</w:t>
      </w:r>
    </w:p>
    <w:p w:rsidR="001F64C7" w:rsidRPr="00EA3989" w:rsidRDefault="001F64C7" w:rsidP="00A411CB">
      <w:pPr>
        <w:pStyle w:val="BodyTextIndent2"/>
        <w:tabs>
          <w:tab w:val="left" w:pos="720"/>
        </w:tabs>
        <w:spacing w:before="120" w:line="240" w:lineRule="exact"/>
        <w:ind w:left="0"/>
        <w:jc w:val="both"/>
      </w:pPr>
      <w:r w:rsidRPr="00EA3989">
        <w:t>Benzalkonyum klorür ihtiva eden tüm göz damlaları yumuşak kontakt lenslerin rengini soldurabilir.</w:t>
      </w:r>
    </w:p>
    <w:p w:rsidR="001F64C7" w:rsidRPr="00EA3989" w:rsidRDefault="001F64C7" w:rsidP="00A411CB">
      <w:pPr>
        <w:spacing w:before="120" w:after="120"/>
        <w:jc w:val="both"/>
        <w:rPr>
          <w:b/>
          <w:bCs/>
        </w:rPr>
      </w:pPr>
      <w:r w:rsidRPr="00EA3989">
        <w:rPr>
          <w:b/>
          <w:bCs/>
        </w:rPr>
        <w:t xml:space="preserve">4.5 </w:t>
      </w:r>
      <w:r w:rsidRPr="00EA3989">
        <w:rPr>
          <w:b/>
          <w:bCs/>
        </w:rPr>
        <w:tab/>
        <w:t>Diğer tıbbi ürünler ile etkileşimler ve diğer etkileşim şekilleri</w:t>
      </w:r>
    </w:p>
    <w:p w:rsidR="001F64C7" w:rsidRPr="00EA3989" w:rsidRDefault="001F64C7" w:rsidP="00A411CB">
      <w:pPr>
        <w:spacing w:before="120" w:after="120"/>
        <w:jc w:val="both"/>
      </w:pPr>
      <w:r w:rsidRPr="00EA3989">
        <w:t>ZADITEN’e ek olarak başka göz ilaçları kullanılması gerektiğinde, iki ilaç en az 5 dakika ara ile uygulanmalıdır.</w:t>
      </w:r>
    </w:p>
    <w:p w:rsidR="001F64C7" w:rsidRPr="00EA3989" w:rsidRDefault="001F64C7" w:rsidP="00A411CB">
      <w:pPr>
        <w:spacing w:before="120" w:after="120"/>
        <w:jc w:val="both"/>
      </w:pPr>
      <w:r w:rsidRPr="00EA3989">
        <w:t>Oral yolla ketotifen fumarat kullanımı, santral sinir sistemi depresanlarının, antihistaminiklerin ve alkolün etkisini potansiyalize edebilir. Bu olgunun ketotifen fumarat ihtiva eden göz ürünleri açısından önemi bilinmemektedir.</w:t>
      </w:r>
    </w:p>
    <w:p w:rsidR="001F64C7" w:rsidRPr="00EA3989" w:rsidRDefault="001F64C7" w:rsidP="00A411CB">
      <w:pPr>
        <w:spacing w:before="120" w:after="120"/>
        <w:jc w:val="both"/>
        <w:rPr>
          <w:b/>
          <w:bCs/>
        </w:rPr>
      </w:pPr>
      <w:r w:rsidRPr="00EA3989">
        <w:rPr>
          <w:b/>
          <w:bCs/>
        </w:rPr>
        <w:t xml:space="preserve">4.6 </w:t>
      </w:r>
      <w:r w:rsidRPr="00EA3989">
        <w:rPr>
          <w:b/>
          <w:bCs/>
        </w:rPr>
        <w:tab/>
        <w:t>Gebelik ve laktasyon</w:t>
      </w:r>
    </w:p>
    <w:p w:rsidR="001F64C7" w:rsidRPr="00EA3989" w:rsidRDefault="001F64C7" w:rsidP="00A411CB">
      <w:pPr>
        <w:spacing w:before="120" w:after="120"/>
        <w:jc w:val="both"/>
        <w:rPr>
          <w:b/>
          <w:bCs/>
        </w:rPr>
      </w:pPr>
      <w:r w:rsidRPr="00EA3989">
        <w:rPr>
          <w:b/>
          <w:bCs/>
        </w:rPr>
        <w:t>Genel tavsiye</w:t>
      </w:r>
    </w:p>
    <w:p w:rsidR="001F64C7" w:rsidRPr="00EA3989" w:rsidRDefault="001F64C7" w:rsidP="00A411CB">
      <w:pPr>
        <w:spacing w:before="120" w:after="120"/>
        <w:jc w:val="both"/>
      </w:pPr>
      <w:r w:rsidRPr="00EA3989">
        <w:t>Gebelik Kategorisi: C</w:t>
      </w:r>
    </w:p>
    <w:p w:rsidR="001F64C7" w:rsidRPr="00EA3989" w:rsidRDefault="001F64C7" w:rsidP="00A411CB">
      <w:pPr>
        <w:spacing w:before="120" w:after="120"/>
        <w:jc w:val="both"/>
        <w:rPr>
          <w:b/>
          <w:bCs/>
        </w:rPr>
      </w:pPr>
      <w:r w:rsidRPr="00EA3989">
        <w:rPr>
          <w:b/>
          <w:bCs/>
        </w:rPr>
        <w:t>Çocuk doğurma potansiyeli bulunan kadınlar/Doğum kontrolü (Kontrasepsiyon)</w:t>
      </w:r>
    </w:p>
    <w:p w:rsidR="001F64C7" w:rsidRPr="00EA3989" w:rsidRDefault="001F64C7" w:rsidP="00A411CB">
      <w:pPr>
        <w:spacing w:before="120" w:after="120"/>
        <w:jc w:val="both"/>
      </w:pPr>
      <w:r w:rsidRPr="00EA3989">
        <w:t>Çocuk doğurma potansiyeli bulunan kadınlarda ve doğum kontrolü (kontrasepsiyon) uygulayanlarda ilacın kullanımı yönünden bir öneri bulunmamaktadır.</w:t>
      </w:r>
    </w:p>
    <w:p w:rsidR="001F64C7" w:rsidRPr="00EA3989" w:rsidRDefault="001F64C7" w:rsidP="00A411CB">
      <w:pPr>
        <w:spacing w:before="120" w:after="120"/>
        <w:jc w:val="both"/>
        <w:rPr>
          <w:b/>
          <w:bCs/>
        </w:rPr>
      </w:pPr>
      <w:r w:rsidRPr="00EA3989">
        <w:rPr>
          <w:b/>
          <w:bCs/>
        </w:rPr>
        <w:t>Gebelik dönemi</w:t>
      </w:r>
    </w:p>
    <w:p w:rsidR="001F64C7" w:rsidRPr="00EA3989" w:rsidRDefault="001F64C7" w:rsidP="00A411CB">
      <w:pPr>
        <w:spacing w:before="120" w:after="120"/>
        <w:jc w:val="both"/>
      </w:pPr>
      <w:r w:rsidRPr="00EA3989">
        <w:t xml:space="preserve">Ketotifenin gebe kadınlara kullanımına ilişkin yeterli veri mevcut değildir. Oral kullanım ve toksik dozlar için yapılmış hayvan çalışmalarında pre ve postnatal mortalitede artış gözlenirken teratojenitede böyle bir durum gözlenmemiştir (bkz. Bölüm 5.3). Oküler kullanımı takiben sistemik düzeyler genellikle limitlerin altındadır. </w:t>
      </w:r>
    </w:p>
    <w:p w:rsidR="001F64C7" w:rsidRPr="00EA3989" w:rsidRDefault="001F64C7" w:rsidP="00A411CB">
      <w:pPr>
        <w:spacing w:before="120" w:after="120"/>
        <w:jc w:val="both"/>
      </w:pPr>
      <w:r w:rsidRPr="00EA3989">
        <w:t xml:space="preserve">ZADITEN gerekli olmadıkça gebelik döneminde kullanılmamalıdır. </w:t>
      </w:r>
    </w:p>
    <w:p w:rsidR="001F64C7" w:rsidRPr="00EA3989" w:rsidRDefault="001F64C7" w:rsidP="00A411CB">
      <w:pPr>
        <w:spacing w:before="120" w:after="120"/>
        <w:jc w:val="both"/>
        <w:rPr>
          <w:b/>
          <w:bCs/>
        </w:rPr>
      </w:pPr>
      <w:r w:rsidRPr="00EA3989">
        <w:rPr>
          <w:b/>
          <w:bCs/>
        </w:rPr>
        <w:t>Laktasyon dönemi</w:t>
      </w:r>
    </w:p>
    <w:p w:rsidR="001F64C7" w:rsidRPr="00EA3989" w:rsidRDefault="001F64C7" w:rsidP="00A411CB">
      <w:pPr>
        <w:spacing w:before="120" w:after="120"/>
        <w:jc w:val="both"/>
      </w:pPr>
      <w:r w:rsidRPr="00EA3989">
        <w:t>Oral uygulamayı takiben elde edilen hayvan verilerine göre ilacın anne sütüne geçtiği bildirilmiş olmasına rağmen, insanda topikal uygulamayı takiben anne sütünde tespit edilebilir miktarlarda bulunmamıştır. Yine de, ZADITEN emzirme döneminde kullanılırken dikkatli olunmalıdır.</w:t>
      </w:r>
    </w:p>
    <w:p w:rsidR="001F64C7" w:rsidRPr="00EA3989" w:rsidRDefault="001F64C7" w:rsidP="00A411CB">
      <w:pPr>
        <w:spacing w:before="120" w:after="120"/>
        <w:jc w:val="both"/>
        <w:rPr>
          <w:b/>
          <w:bCs/>
        </w:rPr>
      </w:pPr>
      <w:r w:rsidRPr="00EA3989">
        <w:rPr>
          <w:b/>
          <w:bCs/>
        </w:rPr>
        <w:t>Üreme yeteneği/Fertilite</w:t>
      </w:r>
    </w:p>
    <w:p w:rsidR="001F64C7" w:rsidRPr="00EA3989" w:rsidRDefault="001F64C7" w:rsidP="00A411CB">
      <w:pPr>
        <w:spacing w:before="120" w:after="120"/>
        <w:jc w:val="both"/>
      </w:pPr>
      <w:r w:rsidRPr="00EA3989">
        <w:t>ZADITEN’in üreme yeteneği üzerindeki etkisi sıçanlar üzerinde araştırılmıştır (bkz. Bölüm 5.3).</w:t>
      </w:r>
    </w:p>
    <w:p w:rsidR="001F64C7" w:rsidRPr="00EA3989" w:rsidRDefault="001F64C7" w:rsidP="00A411CB">
      <w:pPr>
        <w:spacing w:before="120" w:after="120"/>
        <w:jc w:val="both"/>
        <w:rPr>
          <w:b/>
          <w:bCs/>
        </w:rPr>
      </w:pPr>
      <w:r w:rsidRPr="00EA3989">
        <w:rPr>
          <w:b/>
          <w:bCs/>
        </w:rPr>
        <w:t xml:space="preserve">4.7 </w:t>
      </w:r>
      <w:r w:rsidRPr="00EA3989">
        <w:rPr>
          <w:b/>
          <w:bCs/>
        </w:rPr>
        <w:tab/>
        <w:t>Araç ve makine kullanımı üzerindeki etkiler</w:t>
      </w:r>
    </w:p>
    <w:p w:rsidR="001F64C7" w:rsidRPr="00EA3989" w:rsidRDefault="001F64C7" w:rsidP="00A411CB">
      <w:pPr>
        <w:spacing w:before="120" w:after="120"/>
        <w:jc w:val="both"/>
      </w:pPr>
      <w:r w:rsidRPr="00EA3989">
        <w:t>Bulanık gören veya uyku hali olan hastalar araç ve makine kullanmamalıdırlar.</w:t>
      </w:r>
    </w:p>
    <w:p w:rsidR="001F64C7" w:rsidRPr="00EA3989" w:rsidRDefault="001F64C7" w:rsidP="00A411CB">
      <w:pPr>
        <w:tabs>
          <w:tab w:val="left" w:pos="372"/>
        </w:tabs>
        <w:spacing w:before="120" w:after="120"/>
        <w:ind w:left="12"/>
        <w:jc w:val="both"/>
        <w:rPr>
          <w:b/>
          <w:bCs/>
        </w:rPr>
      </w:pPr>
      <w:r w:rsidRPr="00EA3989">
        <w:rPr>
          <w:b/>
          <w:bCs/>
        </w:rPr>
        <w:t xml:space="preserve">4.8 </w:t>
      </w:r>
      <w:r w:rsidRPr="00EA3989">
        <w:rPr>
          <w:b/>
          <w:bCs/>
        </w:rPr>
        <w:tab/>
        <w:t>İstenmeyen etkiler</w:t>
      </w:r>
    </w:p>
    <w:p w:rsidR="001F64C7" w:rsidRPr="00EA3989" w:rsidRDefault="001F64C7" w:rsidP="00A411CB">
      <w:pPr>
        <w:spacing w:before="120" w:after="120"/>
        <w:jc w:val="both"/>
        <w:rPr>
          <w:b/>
          <w:bCs/>
        </w:rPr>
      </w:pPr>
      <w:r w:rsidRPr="00EA3989">
        <w:t>Önerilen dozda aşağıdaki yan etkiler gözlenmiştir. İstenmeyen etkiler çok yaygın (≥1/10); yaygın (≥1/100 ila &lt;1/10); yaygın olmayan (≥1/1000 ila &lt;1/100); seyrek (≥1/10.000 ila &lt;1/1000); çok seyrek (&lt;1/10.000), bilinmiyor (eldeki verilerden hareketle tahmin edilemiyor)</w:t>
      </w:r>
      <w:r w:rsidRPr="00EA3989">
        <w:rPr>
          <w:b/>
          <w:bCs/>
        </w:rPr>
        <w:t xml:space="preserve"> </w:t>
      </w:r>
      <w:r w:rsidRPr="00EA3989">
        <w:t>olarak listelenmiştir.</w:t>
      </w:r>
    </w:p>
    <w:p w:rsidR="001F64C7" w:rsidRPr="00EA3989" w:rsidRDefault="001F64C7" w:rsidP="00A411CB">
      <w:pPr>
        <w:spacing w:before="120" w:after="120"/>
        <w:rPr>
          <w:b/>
          <w:bCs/>
        </w:rPr>
      </w:pPr>
      <w:r w:rsidRPr="00EA3989">
        <w:rPr>
          <w:b/>
          <w:bCs/>
        </w:rPr>
        <w:lastRenderedPageBreak/>
        <w:t>Oküler yan etkiler:</w:t>
      </w:r>
    </w:p>
    <w:p w:rsidR="001F64C7" w:rsidRPr="00EA3989" w:rsidRDefault="001F64C7" w:rsidP="00A411CB">
      <w:pPr>
        <w:spacing w:before="120" w:after="120"/>
        <w:rPr>
          <w:b/>
          <w:bCs/>
        </w:rPr>
      </w:pPr>
      <w:r w:rsidRPr="00EA3989">
        <w:rPr>
          <w:b/>
          <w:bCs/>
        </w:rPr>
        <w:t>Göz bozuklukları</w:t>
      </w:r>
    </w:p>
    <w:p w:rsidR="001F64C7" w:rsidRPr="00EA3989" w:rsidRDefault="001F64C7" w:rsidP="00A411CB">
      <w:pPr>
        <w:spacing w:before="120" w:after="120"/>
      </w:pPr>
      <w:r w:rsidRPr="00EA3989">
        <w:t>Yaygın: Gözde yanma/batma, noktasal korneal epitel erozyonu.</w:t>
      </w:r>
    </w:p>
    <w:p w:rsidR="001F64C7" w:rsidRPr="00EA3989" w:rsidRDefault="001F64C7" w:rsidP="00A411CB">
      <w:pPr>
        <w:spacing w:before="120" w:after="120"/>
        <w:jc w:val="both"/>
      </w:pPr>
      <w:r w:rsidRPr="00EA3989">
        <w:t>Yaygın olmayan: İlacın damlatılması esnasında bulanık görme, kuru göz, göz kapağı rahatsızlığı, konjunktivit, göz ağrısı, fotofobi, subkonjunktival hemoraji</w:t>
      </w:r>
    </w:p>
    <w:p w:rsidR="001F64C7" w:rsidRPr="00EA3989" w:rsidRDefault="001F64C7" w:rsidP="00A411CB">
      <w:pPr>
        <w:spacing w:before="120" w:after="120"/>
        <w:jc w:val="both"/>
        <w:rPr>
          <w:b/>
          <w:bCs/>
        </w:rPr>
      </w:pPr>
    </w:p>
    <w:p w:rsidR="001F64C7" w:rsidRPr="00EA3989" w:rsidRDefault="001F64C7" w:rsidP="00A411CB">
      <w:pPr>
        <w:spacing w:before="120" w:after="120"/>
        <w:jc w:val="both"/>
        <w:rPr>
          <w:b/>
          <w:bCs/>
        </w:rPr>
      </w:pPr>
      <w:r w:rsidRPr="00EA3989">
        <w:rPr>
          <w:b/>
          <w:bCs/>
        </w:rPr>
        <w:t>Sistemik yan etkiler:</w:t>
      </w:r>
    </w:p>
    <w:p w:rsidR="001F64C7" w:rsidRPr="00EA3989" w:rsidRDefault="001F64C7" w:rsidP="00A411CB">
      <w:pPr>
        <w:spacing w:before="120" w:after="120"/>
        <w:jc w:val="both"/>
        <w:rPr>
          <w:b/>
          <w:bCs/>
        </w:rPr>
      </w:pPr>
      <w:r w:rsidRPr="00EA3989">
        <w:rPr>
          <w:b/>
          <w:bCs/>
        </w:rPr>
        <w:t>Bağışıklık sistemi bozuklukları</w:t>
      </w:r>
    </w:p>
    <w:p w:rsidR="001F64C7" w:rsidRPr="00EA3989" w:rsidRDefault="001F64C7" w:rsidP="00A411CB">
      <w:pPr>
        <w:spacing w:before="120" w:after="120"/>
      </w:pPr>
      <w:r w:rsidRPr="00EA3989">
        <w:t>Yaygın olmayan: Alerjik reaksiyon, ağız kuruluğu</w:t>
      </w:r>
    </w:p>
    <w:p w:rsidR="001F64C7" w:rsidRPr="00EA3989" w:rsidRDefault="001F64C7" w:rsidP="00A411CB">
      <w:pPr>
        <w:spacing w:before="120" w:after="120"/>
        <w:rPr>
          <w:b/>
          <w:bCs/>
        </w:rPr>
      </w:pPr>
      <w:r w:rsidRPr="00EA3989">
        <w:rPr>
          <w:b/>
          <w:bCs/>
        </w:rPr>
        <w:t>Sinir sistemi bozuklukları</w:t>
      </w:r>
    </w:p>
    <w:p w:rsidR="001F64C7" w:rsidRPr="00EA3989" w:rsidRDefault="001F64C7" w:rsidP="00A411CB">
      <w:pPr>
        <w:spacing w:before="120" w:after="120"/>
      </w:pPr>
      <w:r w:rsidRPr="00EA3989">
        <w:t xml:space="preserve">Yaygın olmayan: Baş ağrısı, somnolans </w:t>
      </w:r>
    </w:p>
    <w:p w:rsidR="001F64C7" w:rsidRPr="00EA3989" w:rsidRDefault="001F64C7" w:rsidP="00A411CB">
      <w:pPr>
        <w:spacing w:before="120" w:after="120"/>
        <w:rPr>
          <w:b/>
          <w:bCs/>
        </w:rPr>
      </w:pPr>
      <w:r w:rsidRPr="00EA3989">
        <w:rPr>
          <w:b/>
          <w:bCs/>
        </w:rPr>
        <w:t>Deri ve deri altı doku bozuklukları</w:t>
      </w:r>
    </w:p>
    <w:p w:rsidR="001F64C7" w:rsidRPr="00EA3989" w:rsidRDefault="001F64C7" w:rsidP="00A411CB">
      <w:pPr>
        <w:spacing w:before="120" w:after="120"/>
      </w:pPr>
      <w:r w:rsidRPr="00EA3989">
        <w:t>Yaygın olmayan: deride döküntü, ekzema, ürtiker</w:t>
      </w:r>
    </w:p>
    <w:p w:rsidR="001F64C7" w:rsidRPr="00EA3989" w:rsidRDefault="001F64C7" w:rsidP="00A411CB">
      <w:pPr>
        <w:spacing w:before="120" w:after="120"/>
        <w:jc w:val="both"/>
        <w:rPr>
          <w:b/>
          <w:bCs/>
        </w:rPr>
      </w:pPr>
      <w:r w:rsidRPr="00EA3989">
        <w:rPr>
          <w:b/>
          <w:bCs/>
        </w:rPr>
        <w:t xml:space="preserve">4.9 </w:t>
      </w:r>
      <w:r w:rsidRPr="00EA3989">
        <w:rPr>
          <w:b/>
          <w:bCs/>
        </w:rPr>
        <w:tab/>
        <w:t>Doz aşımı ve tedavisi</w:t>
      </w:r>
    </w:p>
    <w:p w:rsidR="001F64C7" w:rsidRPr="00EA3989" w:rsidRDefault="001F64C7" w:rsidP="00A411CB">
      <w:pPr>
        <w:spacing w:before="120" w:after="120"/>
        <w:jc w:val="both"/>
      </w:pPr>
      <w:r w:rsidRPr="00EA3989">
        <w:t>Doz aşımı bildirilmemiştir.</w:t>
      </w:r>
    </w:p>
    <w:p w:rsidR="001F64C7" w:rsidRPr="00EA3989" w:rsidRDefault="001F64C7" w:rsidP="00A411CB">
      <w:pPr>
        <w:spacing w:before="120" w:after="120"/>
        <w:jc w:val="both"/>
      </w:pPr>
      <w:r w:rsidRPr="00EA3989">
        <w:t>5 ml’lik göz damlasının içilmesi halinde alınan ketotifen miktarı, 3 yaşındaki bir çocuk için oral yolla önerilen günlük dozun % 60'ı olan 1.25 mg 'a eşdeğerdir. Klinik sonuçlar 20 mg'a kadar ketotifenin oral yolla alımını takiben hiçbir ciddi belirti ya da semptomun gözlenmediğini göstermiştir.</w:t>
      </w:r>
    </w:p>
    <w:p w:rsidR="001B45BD" w:rsidRPr="00EA3989" w:rsidRDefault="001B45BD" w:rsidP="00A411CB">
      <w:pPr>
        <w:spacing w:before="120" w:after="120"/>
        <w:jc w:val="both"/>
        <w:rPr>
          <w:b/>
          <w:bCs/>
        </w:rPr>
      </w:pPr>
    </w:p>
    <w:p w:rsidR="001F64C7" w:rsidRPr="00EA3989" w:rsidRDefault="001F64C7" w:rsidP="00A411CB">
      <w:pPr>
        <w:spacing w:before="120" w:after="120"/>
        <w:jc w:val="both"/>
        <w:rPr>
          <w:b/>
          <w:bCs/>
        </w:rPr>
      </w:pPr>
      <w:r w:rsidRPr="00EA3989">
        <w:rPr>
          <w:b/>
          <w:bCs/>
        </w:rPr>
        <w:t xml:space="preserve">5.  </w:t>
      </w:r>
      <w:r w:rsidRPr="00EA3989">
        <w:rPr>
          <w:b/>
          <w:bCs/>
        </w:rPr>
        <w:tab/>
        <w:t>FARMAKOLOJİK ÖZELLİKLER</w:t>
      </w:r>
    </w:p>
    <w:p w:rsidR="001F64C7" w:rsidRPr="00EA3989" w:rsidRDefault="001F64C7" w:rsidP="00A411CB">
      <w:pPr>
        <w:spacing w:before="120" w:after="120"/>
        <w:jc w:val="both"/>
        <w:rPr>
          <w:b/>
          <w:bCs/>
        </w:rPr>
      </w:pPr>
      <w:r w:rsidRPr="00EA3989">
        <w:rPr>
          <w:b/>
          <w:bCs/>
        </w:rPr>
        <w:t xml:space="preserve">5.1. </w:t>
      </w:r>
      <w:r w:rsidRPr="00EA3989">
        <w:rPr>
          <w:b/>
          <w:bCs/>
        </w:rPr>
        <w:tab/>
        <w:t>Farmakodinamik özellikler</w:t>
      </w:r>
    </w:p>
    <w:p w:rsidR="001F64C7" w:rsidRPr="00EA3989" w:rsidRDefault="001F64C7" w:rsidP="00A411CB">
      <w:pPr>
        <w:spacing w:before="120" w:after="120"/>
        <w:jc w:val="both"/>
      </w:pPr>
      <w:r w:rsidRPr="00EA3989">
        <w:t>Farmakoterapötik grup: Oftalmolojikler, diğer antialerjikler</w:t>
      </w:r>
    </w:p>
    <w:p w:rsidR="001F64C7" w:rsidRPr="00EA3989" w:rsidRDefault="001F64C7" w:rsidP="00A411CB">
      <w:pPr>
        <w:spacing w:before="120" w:after="120"/>
        <w:jc w:val="both"/>
      </w:pPr>
      <w:r w:rsidRPr="00EA3989">
        <w:t>ATC kodu: S01GX08</w:t>
      </w:r>
    </w:p>
    <w:p w:rsidR="001F64C7" w:rsidRPr="00EA3989" w:rsidRDefault="001F64C7" w:rsidP="00A411CB">
      <w:pPr>
        <w:spacing w:before="120" w:after="120"/>
        <w:jc w:val="both"/>
      </w:pPr>
      <w:r w:rsidRPr="00EA3989">
        <w:t>Etki mekanizması:</w:t>
      </w:r>
    </w:p>
    <w:p w:rsidR="001F64C7" w:rsidRPr="00EA3989" w:rsidRDefault="001F64C7" w:rsidP="00A411CB">
      <w:pPr>
        <w:spacing w:before="120" w:after="120"/>
        <w:jc w:val="both"/>
      </w:pPr>
      <w:r w:rsidRPr="00EA3989">
        <w:t>Ketotifen bir histamin H1-reseptör antagonistidir. Ayrıca ketotifen tip-1 alerjik reaksiyonlarda etkin olan hücrelerden (mast hücreleri, eozinofil, bazofil ve nötrofil hücreleri) mediatör salıverilmesini (örn. histamin, lökotrien, prostaglandin ve PAF) de inhibe eder. Fosfodiesteraz inhibisyonu ile artan cAMP düzeyleri ketotifenin hücre stabilizasyonuna etkisine katkıda bulunabilir.</w:t>
      </w:r>
    </w:p>
    <w:p w:rsidR="001F64C7" w:rsidRPr="00EA3989" w:rsidRDefault="001F64C7" w:rsidP="00A411CB">
      <w:pPr>
        <w:spacing w:before="120" w:after="120"/>
        <w:jc w:val="both"/>
        <w:rPr>
          <w:b/>
          <w:bCs/>
        </w:rPr>
      </w:pPr>
      <w:r w:rsidRPr="00EA3989">
        <w:rPr>
          <w:b/>
          <w:bCs/>
        </w:rPr>
        <w:t>5.2. Farmakokinetik özellikler</w:t>
      </w:r>
    </w:p>
    <w:p w:rsidR="001F64C7" w:rsidRPr="00EA3989" w:rsidRDefault="001F64C7" w:rsidP="00A411CB">
      <w:pPr>
        <w:spacing w:before="120" w:after="120"/>
        <w:jc w:val="both"/>
        <w:rPr>
          <w:b/>
          <w:bCs/>
        </w:rPr>
      </w:pPr>
      <w:r w:rsidRPr="00EA3989">
        <w:rPr>
          <w:b/>
          <w:bCs/>
        </w:rPr>
        <w:t>Genel Özellikler</w:t>
      </w:r>
    </w:p>
    <w:p w:rsidR="001F64C7" w:rsidRPr="00EA3989" w:rsidRDefault="001F64C7" w:rsidP="00A411CB">
      <w:pPr>
        <w:spacing w:before="120" w:after="120"/>
        <w:jc w:val="both"/>
        <w:rPr>
          <w:u w:val="single"/>
        </w:rPr>
      </w:pPr>
      <w:r w:rsidRPr="00EA3989">
        <w:rPr>
          <w:u w:val="single"/>
        </w:rPr>
        <w:t>Emilim:</w:t>
      </w:r>
    </w:p>
    <w:p w:rsidR="001F64C7" w:rsidRPr="00EA3989" w:rsidRDefault="001F64C7" w:rsidP="00A411CB">
      <w:pPr>
        <w:pStyle w:val="BodyTextIndent2"/>
        <w:spacing w:before="120" w:line="240" w:lineRule="auto"/>
        <w:ind w:left="0"/>
        <w:jc w:val="both"/>
      </w:pPr>
      <w:r w:rsidRPr="00EA3989">
        <w:t>18 sağlıklı gönüllüye ZADITEN uygulanması ile yapılan farmakokinetik çalışmalarda, damlanın 14 gün için tek doz ve çok doz oküler uygulamasını takiben ketotifenin plazma düzeyleri limitin altında bulunmuştur (20 pg/ml).</w:t>
      </w:r>
    </w:p>
    <w:p w:rsidR="001F64C7" w:rsidRPr="00EA3989" w:rsidRDefault="001F64C7" w:rsidP="00A411CB">
      <w:pPr>
        <w:tabs>
          <w:tab w:val="left" w:pos="1279"/>
        </w:tabs>
        <w:spacing w:before="120" w:after="120"/>
        <w:jc w:val="both"/>
        <w:rPr>
          <w:u w:val="single"/>
        </w:rPr>
      </w:pPr>
      <w:r w:rsidRPr="00EA3989">
        <w:rPr>
          <w:u w:val="single"/>
        </w:rPr>
        <w:t>Dağılım:</w:t>
      </w:r>
    </w:p>
    <w:p w:rsidR="001F64C7" w:rsidRPr="00EA3989" w:rsidRDefault="001F64C7" w:rsidP="00A411CB">
      <w:pPr>
        <w:spacing w:before="120" w:after="120"/>
        <w:jc w:val="both"/>
      </w:pPr>
      <w:r w:rsidRPr="00EA3989">
        <w:t xml:space="preserve">Oral uygulamadan sonra ketotifen bifazik şekilde elimine edilmekte olup başlangıç yarı ömrü 3 ila 5 saat, terminal yarı ömrü ise 21 saattir. </w:t>
      </w:r>
    </w:p>
    <w:p w:rsidR="001F64C7" w:rsidRPr="00EA3989" w:rsidRDefault="001F64C7" w:rsidP="00A411CB">
      <w:pPr>
        <w:spacing w:before="120" w:after="120"/>
        <w:jc w:val="both"/>
        <w:rPr>
          <w:u w:val="single"/>
        </w:rPr>
      </w:pPr>
      <w:r w:rsidRPr="00EA3989">
        <w:rPr>
          <w:u w:val="single"/>
        </w:rPr>
        <w:lastRenderedPageBreak/>
        <w:t>Biyotransformasyon:</w:t>
      </w:r>
    </w:p>
    <w:p w:rsidR="001F64C7" w:rsidRPr="00EA3989" w:rsidRDefault="001F64C7" w:rsidP="00A411CB">
      <w:pPr>
        <w:spacing w:before="120" w:after="120"/>
        <w:jc w:val="both"/>
      </w:pPr>
      <w:r w:rsidRPr="00EA3989">
        <w:t>Ana metaboliti pratikte inaktif ketotifen-N-glukuroniddir.</w:t>
      </w:r>
    </w:p>
    <w:p w:rsidR="001F64C7" w:rsidRPr="00EA3989" w:rsidRDefault="001F64C7" w:rsidP="00A411CB">
      <w:pPr>
        <w:spacing w:before="120" w:after="120"/>
        <w:jc w:val="both"/>
        <w:rPr>
          <w:u w:val="single"/>
        </w:rPr>
      </w:pPr>
      <w:r w:rsidRPr="00EA3989">
        <w:rPr>
          <w:u w:val="single"/>
        </w:rPr>
        <w:t>Eliminasyon:</w:t>
      </w:r>
    </w:p>
    <w:p w:rsidR="001F64C7" w:rsidRPr="00EA3989" w:rsidRDefault="001F64C7" w:rsidP="00A411CB">
      <w:pPr>
        <w:spacing w:before="120" w:after="120"/>
        <w:jc w:val="both"/>
      </w:pPr>
      <w:r w:rsidRPr="00EA3989">
        <w:t xml:space="preserve">48 saat içinde maddenin yaklaşık %1’i değişmemiş ve %60 ila %70’i metabolitleri olarak idrarla atılmaktadır. </w:t>
      </w:r>
    </w:p>
    <w:p w:rsidR="001F64C7" w:rsidRPr="00EA3989" w:rsidRDefault="001F64C7" w:rsidP="00A411CB">
      <w:pPr>
        <w:spacing w:before="120" w:after="120"/>
        <w:jc w:val="both"/>
        <w:rPr>
          <w:u w:val="single"/>
        </w:rPr>
      </w:pPr>
      <w:r w:rsidRPr="00EA3989">
        <w:rPr>
          <w:u w:val="single"/>
        </w:rPr>
        <w:t>Doğrusallık/Doğrusal olmayan durum:</w:t>
      </w:r>
    </w:p>
    <w:p w:rsidR="001F64C7" w:rsidRPr="00EA3989" w:rsidRDefault="001F64C7" w:rsidP="00A411CB">
      <w:pPr>
        <w:spacing w:before="120" w:after="120"/>
        <w:jc w:val="both"/>
      </w:pPr>
      <w:r w:rsidRPr="00EA3989">
        <w:t>Doğrusallık/Doğrusal olmayan durum hakkında veri bulunmamaktadır.</w:t>
      </w:r>
    </w:p>
    <w:p w:rsidR="001F64C7" w:rsidRPr="00EA3989" w:rsidRDefault="001F64C7" w:rsidP="00A411CB">
      <w:pPr>
        <w:spacing w:before="120" w:after="120"/>
        <w:jc w:val="both"/>
        <w:rPr>
          <w:b/>
          <w:bCs/>
        </w:rPr>
      </w:pPr>
      <w:r w:rsidRPr="00EA3989">
        <w:rPr>
          <w:b/>
          <w:bCs/>
        </w:rPr>
        <w:t>Hastalardaki karakteristik özellikler</w:t>
      </w:r>
    </w:p>
    <w:p w:rsidR="001F64C7" w:rsidRPr="00EA3989" w:rsidRDefault="001F64C7" w:rsidP="00A411CB">
      <w:pPr>
        <w:spacing w:before="120" w:after="120"/>
        <w:jc w:val="both"/>
      </w:pPr>
      <w:r w:rsidRPr="00EA3989">
        <w:t>Farklı hasta gruplarında bilinen önemli bir farmakokinetik değişiklik yoktur.</w:t>
      </w:r>
    </w:p>
    <w:p w:rsidR="001F64C7" w:rsidRPr="00EA3989" w:rsidRDefault="001F64C7" w:rsidP="00A411CB">
      <w:pPr>
        <w:spacing w:before="120" w:after="120"/>
        <w:jc w:val="both"/>
        <w:rPr>
          <w:b/>
          <w:bCs/>
        </w:rPr>
      </w:pPr>
      <w:r w:rsidRPr="00EA3989">
        <w:rPr>
          <w:b/>
          <w:bCs/>
        </w:rPr>
        <w:t>5.3 Klinik öncesi güvenlilik verileri</w:t>
      </w:r>
    </w:p>
    <w:p w:rsidR="001F64C7" w:rsidRPr="00EA3989" w:rsidRDefault="001F64C7" w:rsidP="00A411CB">
      <w:pPr>
        <w:pStyle w:val="BodyTextIndent2"/>
        <w:spacing w:before="120" w:line="240" w:lineRule="auto"/>
        <w:ind w:left="0"/>
        <w:jc w:val="both"/>
      </w:pPr>
      <w:r w:rsidRPr="00EA3989">
        <w:t>Konvansiyonel emniyet, farmakoloji, tekrarlanan doz toksisiteleri, genotoksisite, karsinojenik potansiyel ve üreme üzerindeki toksisite çalışmalarına dayanan preklinik veriler insanlar üzerinde zararlı etkisi olmadığını göstermiştir.</w:t>
      </w:r>
    </w:p>
    <w:p w:rsidR="001F64C7" w:rsidRPr="00EA3989" w:rsidRDefault="001F64C7" w:rsidP="00A411CB">
      <w:pPr>
        <w:spacing w:before="120" w:after="120"/>
        <w:jc w:val="both"/>
      </w:pPr>
      <w:r w:rsidRPr="00EA3989">
        <w:t>Karsinojenez, Mutajenez, Fertilite Bozukluğu:</w:t>
      </w:r>
    </w:p>
    <w:p w:rsidR="001F64C7" w:rsidRPr="00EA3989" w:rsidRDefault="001F64C7" w:rsidP="00A411CB">
      <w:pPr>
        <w:spacing w:before="120" w:after="120"/>
        <w:jc w:val="both"/>
      </w:pPr>
      <w:r w:rsidRPr="00EA3989">
        <w:t>Bir dizi in vitro ve in vivo çalışmada ketotifen fumaratın mutajenik olmadığı belirlenmiştir. Bu çalışmalar: Ames testi, V79 Çin hamsterı hücreleri ile in vitro kromozomal aberasyon testi, farelerde in vivo mikronükleus testi ve fare dominant letal testidir.</w:t>
      </w:r>
    </w:p>
    <w:p w:rsidR="001F64C7" w:rsidRPr="00EA3989" w:rsidRDefault="001F64C7" w:rsidP="00A411CB">
      <w:pPr>
        <w:spacing w:before="120" w:after="120"/>
        <w:jc w:val="both"/>
      </w:pPr>
      <w:r w:rsidRPr="00EA3989">
        <w:t>Erkek sıçanların çiftleşme öncesinde 70 gün süreyle &gt; 10 mg/kg/gün (önerilen maksimum insan oküler dozu olan 0.0015 mg/kg/gün dozunun 6.667 katı (MRHOD)) oral ketotifen dozları ile tedavisi mortaliteyle ve fertilitede azalma ile sonuçlanmıştır. Ketotifen uygulaması çiftleşme öncesi 15 güne kadar 50 mg/kg/gün (MRHOD’un 33.333 katı) oral ketotifen verilen dişi sıçanlarda fertiliteyi olumsuz etkilememiştir.</w:t>
      </w:r>
    </w:p>
    <w:p w:rsidR="001B45BD" w:rsidRPr="00EA3989" w:rsidRDefault="001B45BD" w:rsidP="00A411CB">
      <w:pPr>
        <w:spacing w:before="120" w:after="120"/>
        <w:jc w:val="both"/>
        <w:rPr>
          <w:b/>
          <w:bCs/>
        </w:rPr>
      </w:pPr>
    </w:p>
    <w:p w:rsidR="001F64C7" w:rsidRPr="00EA3989" w:rsidRDefault="001F64C7" w:rsidP="00A411CB">
      <w:pPr>
        <w:spacing w:before="120" w:after="120"/>
        <w:jc w:val="both"/>
        <w:rPr>
          <w:b/>
          <w:bCs/>
        </w:rPr>
      </w:pPr>
      <w:r w:rsidRPr="00EA3989">
        <w:rPr>
          <w:b/>
          <w:bCs/>
        </w:rPr>
        <w:t>6.</w:t>
      </w:r>
      <w:r w:rsidRPr="00EA3989">
        <w:rPr>
          <w:b/>
          <w:bCs/>
        </w:rPr>
        <w:tab/>
        <w:t>FARMASÖTİK ÖZELLİKLER</w:t>
      </w:r>
    </w:p>
    <w:p w:rsidR="001F64C7" w:rsidRPr="00EA3989" w:rsidRDefault="001F64C7" w:rsidP="00A411CB">
      <w:pPr>
        <w:spacing w:before="120" w:after="120"/>
        <w:jc w:val="both"/>
        <w:rPr>
          <w:b/>
          <w:bCs/>
        </w:rPr>
      </w:pPr>
      <w:r w:rsidRPr="00EA3989">
        <w:rPr>
          <w:b/>
          <w:bCs/>
        </w:rPr>
        <w:t xml:space="preserve">6.1 </w:t>
      </w:r>
      <w:r w:rsidRPr="00EA3989">
        <w:rPr>
          <w:b/>
          <w:bCs/>
        </w:rPr>
        <w:tab/>
        <w:t>Yardımcı maddelerin listesi</w:t>
      </w:r>
    </w:p>
    <w:p w:rsidR="001F64C7" w:rsidRPr="00EA3989" w:rsidRDefault="001F64C7" w:rsidP="00A411CB">
      <w:pPr>
        <w:spacing w:before="120" w:after="120"/>
        <w:jc w:val="both"/>
      </w:pPr>
      <w:r w:rsidRPr="00EA3989">
        <w:t>Benzalkonyum klorür</w:t>
      </w:r>
    </w:p>
    <w:p w:rsidR="001F64C7" w:rsidRPr="00EA3989" w:rsidRDefault="001F64C7" w:rsidP="00A411CB">
      <w:pPr>
        <w:spacing w:before="120" w:after="120"/>
        <w:jc w:val="both"/>
      </w:pPr>
      <w:r w:rsidRPr="00EA3989">
        <w:t>Gliserol</w:t>
      </w:r>
    </w:p>
    <w:p w:rsidR="001F64C7" w:rsidRPr="00EA3989" w:rsidRDefault="001F64C7" w:rsidP="00A411CB">
      <w:pPr>
        <w:spacing w:before="120" w:after="120"/>
        <w:jc w:val="both"/>
      </w:pPr>
      <w:r w:rsidRPr="00EA3989">
        <w:t>Sodyum hidroksit</w:t>
      </w:r>
    </w:p>
    <w:p w:rsidR="001F64C7" w:rsidRPr="00EA3989" w:rsidRDefault="001F64C7" w:rsidP="00A411CB">
      <w:pPr>
        <w:spacing w:before="120" w:after="120"/>
        <w:jc w:val="both"/>
      </w:pPr>
      <w:r w:rsidRPr="00EA3989">
        <w:t>Enjeksiyonluk su</w:t>
      </w:r>
    </w:p>
    <w:p w:rsidR="001F64C7" w:rsidRPr="00EA3989" w:rsidRDefault="001F64C7" w:rsidP="00A411CB">
      <w:pPr>
        <w:spacing w:before="120" w:after="120"/>
        <w:jc w:val="both"/>
        <w:rPr>
          <w:b/>
          <w:bCs/>
        </w:rPr>
      </w:pPr>
      <w:r w:rsidRPr="00EA3989">
        <w:rPr>
          <w:b/>
          <w:bCs/>
        </w:rPr>
        <w:t xml:space="preserve">6.2 </w:t>
      </w:r>
      <w:r w:rsidRPr="00EA3989">
        <w:rPr>
          <w:b/>
          <w:bCs/>
        </w:rPr>
        <w:tab/>
        <w:t>Geçimsizlikler</w:t>
      </w:r>
    </w:p>
    <w:p w:rsidR="001F64C7" w:rsidRPr="00EA3989" w:rsidRDefault="001F64C7" w:rsidP="00A411CB">
      <w:pPr>
        <w:spacing w:before="120" w:after="120"/>
        <w:jc w:val="both"/>
      </w:pPr>
      <w:r w:rsidRPr="00EA3989">
        <w:t>Bilinen herhangi bir geçimsizliği bulunmamaktadır.</w:t>
      </w:r>
    </w:p>
    <w:p w:rsidR="001F64C7" w:rsidRPr="00EA3989" w:rsidRDefault="001F64C7" w:rsidP="00A411CB">
      <w:pPr>
        <w:spacing w:before="120" w:after="120"/>
        <w:jc w:val="both"/>
        <w:rPr>
          <w:b/>
          <w:bCs/>
        </w:rPr>
      </w:pPr>
      <w:r w:rsidRPr="00EA3989">
        <w:rPr>
          <w:b/>
          <w:bCs/>
        </w:rPr>
        <w:t xml:space="preserve">6.3 </w:t>
      </w:r>
      <w:r w:rsidRPr="00EA3989">
        <w:rPr>
          <w:b/>
          <w:bCs/>
        </w:rPr>
        <w:tab/>
        <w:t>Raf ömrü</w:t>
      </w:r>
    </w:p>
    <w:p w:rsidR="001F64C7" w:rsidRPr="00EA3989" w:rsidRDefault="001F64C7" w:rsidP="00A411CB">
      <w:pPr>
        <w:spacing w:before="120" w:after="120"/>
        <w:jc w:val="both"/>
      </w:pPr>
      <w:r w:rsidRPr="00EA3989">
        <w:t>24 ay</w:t>
      </w:r>
    </w:p>
    <w:p w:rsidR="001F64C7" w:rsidRPr="00EA3989" w:rsidRDefault="001F64C7" w:rsidP="00A411CB">
      <w:pPr>
        <w:spacing w:before="120" w:after="120"/>
        <w:jc w:val="both"/>
      </w:pPr>
      <w:r w:rsidRPr="00EA3989">
        <w:t>Şişe açıldıktan sonra 4 hafta içinde kullanılmalıdır.</w:t>
      </w:r>
    </w:p>
    <w:p w:rsidR="001F64C7" w:rsidRPr="00EA3989" w:rsidRDefault="001F64C7" w:rsidP="00A411CB">
      <w:pPr>
        <w:spacing w:before="120" w:after="120"/>
        <w:jc w:val="both"/>
        <w:rPr>
          <w:b/>
          <w:bCs/>
        </w:rPr>
      </w:pPr>
      <w:r w:rsidRPr="00EA3989">
        <w:rPr>
          <w:b/>
          <w:bCs/>
        </w:rPr>
        <w:t xml:space="preserve">6.4 </w:t>
      </w:r>
      <w:r w:rsidRPr="00EA3989">
        <w:rPr>
          <w:b/>
          <w:bCs/>
        </w:rPr>
        <w:tab/>
        <w:t>Saklamaya yönelik özel tedbirler</w:t>
      </w:r>
    </w:p>
    <w:p w:rsidR="001F64C7" w:rsidRPr="00EA3989" w:rsidRDefault="001F64C7" w:rsidP="00A411CB">
      <w:pPr>
        <w:spacing w:before="120" w:after="120"/>
        <w:jc w:val="both"/>
      </w:pPr>
      <w:r w:rsidRPr="00EA3989">
        <w:t>25°C’nin altındaki oda sıcaklığında saklayınız.</w:t>
      </w:r>
    </w:p>
    <w:p w:rsidR="001F64C7" w:rsidRPr="00EA3989" w:rsidRDefault="001F64C7" w:rsidP="00A411CB">
      <w:pPr>
        <w:spacing w:before="120" w:after="120"/>
        <w:jc w:val="both"/>
        <w:rPr>
          <w:b/>
          <w:bCs/>
        </w:rPr>
      </w:pPr>
      <w:r w:rsidRPr="00EA3989">
        <w:rPr>
          <w:b/>
          <w:bCs/>
        </w:rPr>
        <w:t xml:space="preserve">6.5 </w:t>
      </w:r>
      <w:r w:rsidRPr="00EA3989">
        <w:rPr>
          <w:b/>
          <w:bCs/>
        </w:rPr>
        <w:tab/>
        <w:t>Ambalajın niteliği ve içeriği</w:t>
      </w:r>
    </w:p>
    <w:p w:rsidR="001F64C7" w:rsidRPr="00EA3989" w:rsidRDefault="001F64C7" w:rsidP="00A411CB">
      <w:pPr>
        <w:spacing w:before="120" w:after="120"/>
        <w:jc w:val="both"/>
      </w:pPr>
      <w:r w:rsidRPr="00EA3989">
        <w:t>5 ml’lik beyaz renkli düşük dansiteli polietilen şişelerde, düşük dansiteli şeffaf polietilen damlalık ve beyaz renkli yüksek dansiteli polietilen kapak ile.</w:t>
      </w:r>
    </w:p>
    <w:p w:rsidR="001F64C7" w:rsidRPr="00EA3989" w:rsidRDefault="001F64C7" w:rsidP="00A411CB">
      <w:pPr>
        <w:spacing w:before="120" w:after="120"/>
        <w:jc w:val="both"/>
        <w:rPr>
          <w:b/>
          <w:bCs/>
        </w:rPr>
      </w:pPr>
      <w:r w:rsidRPr="00EA3989">
        <w:rPr>
          <w:b/>
          <w:bCs/>
        </w:rPr>
        <w:lastRenderedPageBreak/>
        <w:t xml:space="preserve">6.6 </w:t>
      </w:r>
      <w:r w:rsidRPr="00EA3989">
        <w:rPr>
          <w:b/>
          <w:bCs/>
        </w:rPr>
        <w:tab/>
        <w:t>Beşeri tıbbi üründen arta kalan maddelerin imhası ve diğer özel önlemler</w:t>
      </w:r>
    </w:p>
    <w:p w:rsidR="001F64C7" w:rsidRPr="00EA3989" w:rsidRDefault="001F64C7" w:rsidP="00A411CB">
      <w:pPr>
        <w:spacing w:before="120" w:after="120"/>
        <w:jc w:val="both"/>
      </w:pPr>
      <w:r w:rsidRPr="00EA3989">
        <w:t>Özel bir kullanma talimatı yoktur.</w:t>
      </w:r>
    </w:p>
    <w:p w:rsidR="001F64C7" w:rsidRPr="00EA3989" w:rsidRDefault="001F64C7" w:rsidP="00A411CB">
      <w:pPr>
        <w:spacing w:before="120" w:after="120"/>
        <w:jc w:val="both"/>
      </w:pPr>
      <w:r w:rsidRPr="00EA3989">
        <w:t>Kullanılmamış olan ürünler ya da atık materyaller “Tıbbi Atıkların Kontrolü Yönetmeliği” ve “Ambalaj Atıklarının Kontrolü Yönetmelik”lerine uygun olarak imha edilmelidir.</w:t>
      </w:r>
    </w:p>
    <w:p w:rsidR="001B45BD" w:rsidRPr="00EA3989" w:rsidRDefault="001B45BD" w:rsidP="00A411CB">
      <w:pPr>
        <w:spacing w:before="120" w:after="120"/>
        <w:jc w:val="both"/>
        <w:rPr>
          <w:b/>
          <w:bCs/>
        </w:rPr>
      </w:pPr>
    </w:p>
    <w:p w:rsidR="001F64C7" w:rsidRPr="00EA3989" w:rsidRDefault="001F64C7" w:rsidP="00A411CB">
      <w:pPr>
        <w:spacing w:before="120" w:after="120"/>
        <w:jc w:val="both"/>
        <w:rPr>
          <w:b/>
          <w:bCs/>
        </w:rPr>
      </w:pPr>
      <w:r w:rsidRPr="00EA3989">
        <w:rPr>
          <w:b/>
          <w:bCs/>
        </w:rPr>
        <w:t>7.</w:t>
      </w:r>
      <w:r w:rsidRPr="00EA3989">
        <w:rPr>
          <w:b/>
          <w:bCs/>
        </w:rPr>
        <w:tab/>
        <w:t>RUHSAT SAHİBİ</w:t>
      </w:r>
    </w:p>
    <w:p w:rsidR="001B45BD" w:rsidRPr="00EA3989" w:rsidRDefault="001B45BD" w:rsidP="001B45BD">
      <w:pPr>
        <w:spacing w:before="120" w:after="120"/>
        <w:jc w:val="both"/>
      </w:pPr>
      <w:r w:rsidRPr="00EA3989">
        <w:t>Thea Pharma İlaç Tic. Ltd. Şti.</w:t>
      </w:r>
    </w:p>
    <w:p w:rsidR="001B45BD" w:rsidRPr="00EA3989" w:rsidRDefault="001B45BD" w:rsidP="001B45BD">
      <w:pPr>
        <w:tabs>
          <w:tab w:val="left" w:pos="4962"/>
        </w:tabs>
        <w:spacing w:before="120" w:after="120"/>
        <w:jc w:val="both"/>
      </w:pPr>
      <w:r w:rsidRPr="00EA3989">
        <w:t>Hakkı Yeten Cad. No:10 K:21</w:t>
      </w:r>
    </w:p>
    <w:p w:rsidR="001B45BD" w:rsidRPr="00EA3989" w:rsidRDefault="001B45BD" w:rsidP="001B45BD">
      <w:pPr>
        <w:tabs>
          <w:tab w:val="left" w:pos="4962"/>
        </w:tabs>
        <w:spacing w:before="120" w:after="120"/>
        <w:jc w:val="both"/>
      </w:pPr>
      <w:r w:rsidRPr="00EA3989">
        <w:t>Fulya Beşiktaş  – İstanbul</w:t>
      </w:r>
    </w:p>
    <w:p w:rsidR="001B45BD" w:rsidRPr="00EA3989" w:rsidRDefault="001B45BD" w:rsidP="00A411CB">
      <w:pPr>
        <w:spacing w:before="120" w:after="120"/>
        <w:jc w:val="both"/>
        <w:rPr>
          <w:b/>
          <w:bCs/>
        </w:rPr>
      </w:pPr>
    </w:p>
    <w:p w:rsidR="001F64C7" w:rsidRPr="00EA3989" w:rsidRDefault="001F64C7" w:rsidP="00A411CB">
      <w:pPr>
        <w:spacing w:before="120" w:after="120"/>
        <w:jc w:val="both"/>
        <w:rPr>
          <w:b/>
          <w:bCs/>
        </w:rPr>
      </w:pPr>
      <w:r w:rsidRPr="00EA3989">
        <w:rPr>
          <w:b/>
          <w:bCs/>
        </w:rPr>
        <w:t>8.</w:t>
      </w:r>
      <w:r w:rsidRPr="00EA3989">
        <w:rPr>
          <w:b/>
          <w:bCs/>
        </w:rPr>
        <w:tab/>
        <w:t>RUHSAT NUMARASI</w:t>
      </w:r>
    </w:p>
    <w:p w:rsidR="001B45BD" w:rsidRPr="00EA3989" w:rsidRDefault="001B45BD" w:rsidP="001B45BD">
      <w:pPr>
        <w:spacing w:before="120" w:after="120"/>
        <w:jc w:val="both"/>
      </w:pPr>
      <w:r w:rsidRPr="00EA3989">
        <w:t>132/36</w:t>
      </w:r>
    </w:p>
    <w:p w:rsidR="001B45BD" w:rsidRPr="00EA3989" w:rsidRDefault="001B45BD" w:rsidP="00A411CB">
      <w:pPr>
        <w:spacing w:before="120" w:after="120"/>
        <w:jc w:val="both"/>
        <w:rPr>
          <w:b/>
          <w:bCs/>
        </w:rPr>
      </w:pPr>
    </w:p>
    <w:p w:rsidR="001F64C7" w:rsidRPr="00EA3989" w:rsidRDefault="001F64C7" w:rsidP="00A411CB">
      <w:pPr>
        <w:spacing w:before="120" w:after="120"/>
        <w:jc w:val="both"/>
        <w:rPr>
          <w:b/>
          <w:bCs/>
        </w:rPr>
      </w:pPr>
      <w:r w:rsidRPr="00EA3989">
        <w:rPr>
          <w:b/>
          <w:bCs/>
        </w:rPr>
        <w:t>9.</w:t>
      </w:r>
      <w:r w:rsidRPr="00EA3989">
        <w:rPr>
          <w:b/>
          <w:bCs/>
        </w:rPr>
        <w:tab/>
        <w:t>İLK RUHSAT TARİHİ/RUHSAT YENİLEME TARİHİ</w:t>
      </w:r>
    </w:p>
    <w:p w:rsidR="001F64C7" w:rsidRPr="00EA3989" w:rsidRDefault="001F64C7" w:rsidP="00A411CB">
      <w:pPr>
        <w:spacing w:before="120" w:after="120"/>
        <w:jc w:val="both"/>
      </w:pPr>
      <w:r w:rsidRPr="00EA3989">
        <w:rPr>
          <w:u w:val="single"/>
        </w:rPr>
        <w:t>İlk ruhsat tarihi:</w:t>
      </w:r>
      <w:r w:rsidRPr="00EA3989">
        <w:t xml:space="preserve"> </w:t>
      </w:r>
      <w:r w:rsidR="001B45BD" w:rsidRPr="00EA3989">
        <w:t>22</w:t>
      </w:r>
      <w:r w:rsidRPr="00EA3989">
        <w:t>.</w:t>
      </w:r>
      <w:r w:rsidR="001B45BD" w:rsidRPr="00EA3989">
        <w:t>11</w:t>
      </w:r>
      <w:r w:rsidRPr="00EA3989">
        <w:t>.20</w:t>
      </w:r>
      <w:r w:rsidR="001B45BD" w:rsidRPr="00EA3989">
        <w:t>11</w:t>
      </w:r>
    </w:p>
    <w:p w:rsidR="001F64C7" w:rsidRPr="00EA3989" w:rsidRDefault="001F64C7" w:rsidP="00A411CB">
      <w:pPr>
        <w:spacing w:before="120" w:after="120"/>
        <w:jc w:val="both"/>
        <w:rPr>
          <w:u w:val="single"/>
        </w:rPr>
      </w:pPr>
      <w:r w:rsidRPr="00EA3989">
        <w:rPr>
          <w:u w:val="single"/>
        </w:rPr>
        <w:t>Ruhsat yenileme tarihi:</w:t>
      </w:r>
    </w:p>
    <w:p w:rsidR="001B45BD" w:rsidRPr="00EA3989" w:rsidRDefault="001B45BD" w:rsidP="00A411CB">
      <w:pPr>
        <w:spacing w:before="120" w:after="120"/>
        <w:jc w:val="both"/>
        <w:rPr>
          <w:b/>
          <w:bCs/>
        </w:rPr>
      </w:pPr>
    </w:p>
    <w:p w:rsidR="001F64C7" w:rsidRPr="00EA3989" w:rsidRDefault="001F64C7" w:rsidP="00A411CB">
      <w:pPr>
        <w:spacing w:before="120" w:after="120"/>
        <w:jc w:val="both"/>
        <w:rPr>
          <w:b/>
          <w:bCs/>
        </w:rPr>
      </w:pPr>
      <w:r w:rsidRPr="00EA3989">
        <w:rPr>
          <w:b/>
          <w:bCs/>
        </w:rPr>
        <w:t>10.</w:t>
      </w:r>
      <w:r w:rsidRPr="00EA3989">
        <w:rPr>
          <w:b/>
          <w:bCs/>
        </w:rPr>
        <w:tab/>
        <w:t>KÜB’ÜN YENİLENME TARİHİ</w:t>
      </w:r>
    </w:p>
    <w:p w:rsidR="007E3664" w:rsidRPr="00EA3989" w:rsidRDefault="001B45BD" w:rsidP="001B45BD">
      <w:pPr>
        <w:spacing w:before="120" w:after="120"/>
        <w:jc w:val="both"/>
        <w:rPr>
          <w:bCs/>
        </w:rPr>
      </w:pPr>
      <w:r w:rsidRPr="00EA3989">
        <w:t>22.11.2011</w:t>
      </w:r>
    </w:p>
    <w:sectPr w:rsidR="007E3664" w:rsidRPr="00EA3989" w:rsidSect="00A411CB">
      <w:footerReference w:type="default" r:id="rId8"/>
      <w:footerReference w:type="first" r:id="rId9"/>
      <w:footnotePr>
        <w:pos w:val="beneathText"/>
      </w:footnotePr>
      <w:pgSz w:w="11905" w:h="16837"/>
      <w:pgMar w:top="1134" w:right="1418" w:bottom="1134" w:left="1418" w:header="708" w:footer="8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9B" w:rsidRDefault="0089509B">
      <w:r>
        <w:separator/>
      </w:r>
    </w:p>
  </w:endnote>
  <w:endnote w:type="continuationSeparator" w:id="0">
    <w:p w:rsidR="0089509B" w:rsidRDefault="0089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CB" w:rsidRDefault="005715C8" w:rsidP="00A411CB">
    <w:pPr>
      <w:pStyle w:val="Footer"/>
      <w:pBdr>
        <w:top w:val="single" w:sz="4" w:space="1" w:color="auto"/>
      </w:pBdr>
      <w:jc w:val="right"/>
    </w:pPr>
    <w:r>
      <w:rPr>
        <w:b/>
      </w:rPr>
      <w:fldChar w:fldCharType="begin"/>
    </w:r>
    <w:r w:rsidR="00A411CB">
      <w:rPr>
        <w:b/>
      </w:rPr>
      <w:instrText xml:space="preserve"> PAGE </w:instrText>
    </w:r>
    <w:r>
      <w:rPr>
        <w:b/>
      </w:rPr>
      <w:fldChar w:fldCharType="separate"/>
    </w:r>
    <w:r w:rsidR="00EA3989">
      <w:rPr>
        <w:b/>
        <w:noProof/>
      </w:rPr>
      <w:t>1</w:t>
    </w:r>
    <w:r>
      <w:rPr>
        <w:b/>
      </w:rPr>
      <w:fldChar w:fldCharType="end"/>
    </w:r>
    <w:r w:rsidR="00A411CB">
      <w:t xml:space="preserve"> / </w:t>
    </w:r>
    <w:r>
      <w:rPr>
        <w:b/>
      </w:rPr>
      <w:fldChar w:fldCharType="begin"/>
    </w:r>
    <w:r w:rsidR="00A411CB">
      <w:rPr>
        <w:b/>
      </w:rPr>
      <w:instrText xml:space="preserve"> NUMPAGES  </w:instrText>
    </w:r>
    <w:r>
      <w:rPr>
        <w:b/>
      </w:rPr>
      <w:fldChar w:fldCharType="separate"/>
    </w:r>
    <w:r w:rsidR="00EA3989">
      <w:rPr>
        <w:b/>
        <w:noProof/>
      </w:rPr>
      <w:t>5</w:t>
    </w:r>
    <w:r>
      <w:rPr>
        <w:b/>
      </w:rPr>
      <w:fldChar w:fldCharType="end"/>
    </w:r>
  </w:p>
  <w:p w:rsidR="001F64C7" w:rsidRPr="00A411CB" w:rsidRDefault="001F64C7" w:rsidP="00A4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Default="001F64C7">
    <w:pPr>
      <w:pStyle w:val="Footer"/>
      <w:pBdr>
        <w:bottom w:val="single" w:sz="6" w:space="1" w:color="auto"/>
      </w:pBdr>
      <w:tabs>
        <w:tab w:val="right" w:pos="8931"/>
      </w:tabs>
      <w:ind w:right="96"/>
      <w:rPr>
        <w:sz w:val="20"/>
        <w:szCs w:val="20"/>
      </w:rPr>
    </w:pPr>
  </w:p>
  <w:p w:rsidR="001F64C7" w:rsidRDefault="001F64C7" w:rsidP="003064F1">
    <w:pPr>
      <w:pStyle w:val="Footer"/>
      <w:tabs>
        <w:tab w:val="clear" w:pos="4536"/>
        <w:tab w:val="center" w:pos="8647"/>
        <w:tab w:val="right" w:pos="8931"/>
      </w:tabs>
      <w:ind w:right="96"/>
      <w:jc w:val="both"/>
      <w:rPr>
        <w:sz w:val="20"/>
        <w:szCs w:val="20"/>
      </w:rPr>
    </w:pPr>
    <w:r>
      <w:rPr>
        <w:sz w:val="20"/>
        <w:szCs w:val="20"/>
      </w:rPr>
      <w:t xml:space="preserve">KÜB  </w:t>
    </w:r>
    <w:r>
      <w:rPr>
        <w:sz w:val="20"/>
        <w:szCs w:val="20"/>
      </w:rPr>
      <w:tab/>
      <w:t xml:space="preserve"> Sayfa </w:t>
    </w:r>
    <w:r w:rsidR="005715C8">
      <w:rPr>
        <w:sz w:val="20"/>
        <w:szCs w:val="20"/>
      </w:rPr>
      <w:fldChar w:fldCharType="begin"/>
    </w:r>
    <w:r>
      <w:rPr>
        <w:sz w:val="20"/>
        <w:szCs w:val="20"/>
      </w:rPr>
      <w:instrText xml:space="preserve"> PAGE </w:instrText>
    </w:r>
    <w:r w:rsidR="005715C8">
      <w:rPr>
        <w:sz w:val="20"/>
        <w:szCs w:val="20"/>
      </w:rPr>
      <w:fldChar w:fldCharType="separate"/>
    </w:r>
    <w:r>
      <w:rPr>
        <w:noProof/>
        <w:sz w:val="20"/>
        <w:szCs w:val="20"/>
      </w:rPr>
      <w:t>1</w:t>
    </w:r>
    <w:r w:rsidR="005715C8">
      <w:rPr>
        <w:sz w:val="20"/>
        <w:szCs w:val="20"/>
      </w:rPr>
      <w:fldChar w:fldCharType="end"/>
    </w:r>
    <w:r>
      <w:rPr>
        <w:sz w:val="20"/>
        <w:szCs w:val="20"/>
      </w:rPr>
      <w:t xml:space="preserve"> / </w:t>
    </w:r>
    <w:r w:rsidR="005715C8">
      <w:fldChar w:fldCharType="begin"/>
    </w:r>
    <w:r>
      <w:instrText xml:space="preserve">ref </w:instrText>
    </w:r>
    <w:r>
      <w:rPr>
        <w:sz w:val="20"/>
        <w:szCs w:val="20"/>
      </w:rPr>
      <w:instrText xml:space="preserve"> NUMPAGE \*Arabic </w:instrText>
    </w:r>
    <w:r w:rsidR="005715C8">
      <w:fldChar w:fldCharType="separate"/>
    </w:r>
    <w:r w:rsidR="00EA3989">
      <w:rPr>
        <w:b/>
        <w:bCs/>
        <w:lang w:val="en-US"/>
      </w:rPr>
      <w:t>Error! Reference source not found.</w:t>
    </w:r>
    <w:r w:rsidR="005715C8">
      <w:fldChar w:fldCharType="end"/>
    </w:r>
  </w:p>
  <w:p w:rsidR="001F64C7" w:rsidRPr="00EF3E21" w:rsidRDefault="001F64C7" w:rsidP="003064F1">
    <w:pPr>
      <w:pStyle w:val="Footer"/>
      <w:tabs>
        <w:tab w:val="left" w:pos="900"/>
      </w:tabs>
      <w:rPr>
        <w:sz w:val="20"/>
        <w:szCs w:val="20"/>
      </w:rPr>
    </w:pPr>
    <w:r>
      <w:rPr>
        <w:sz w:val="20"/>
        <w:szCs w:val="20"/>
      </w:rPr>
      <w:t>Onaylayan:</w:t>
    </w:r>
    <w:r w:rsidRPr="00EF3E21">
      <w:rPr>
        <w:sz w:val="20"/>
        <w:szCs w:val="20"/>
      </w:rPr>
      <w:tab/>
    </w:r>
    <w:r w:rsidRPr="00EF3E21">
      <w:rPr>
        <w:sz w:val="20"/>
        <w:szCs w:val="20"/>
      </w:rPr>
      <w:tab/>
      <w:t xml:space="preserve">Hazırlayan: İDE / </w:t>
    </w:r>
  </w:p>
  <w:p w:rsidR="001F64C7" w:rsidRDefault="001F64C7">
    <w:pPr>
      <w:pStyle w:val="Footer"/>
      <w:tabs>
        <w:tab w:val="right" w:pos="8931"/>
      </w:tabs>
      <w:ind w:right="96"/>
      <w:rPr>
        <w:sz w:val="20"/>
        <w:szCs w:val="20"/>
      </w:rPr>
    </w:pPr>
  </w:p>
  <w:p w:rsidR="001F64C7" w:rsidRDefault="001F64C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9B" w:rsidRDefault="0089509B">
      <w:r>
        <w:separator/>
      </w:r>
    </w:p>
  </w:footnote>
  <w:footnote w:type="continuationSeparator" w:id="0">
    <w:p w:rsidR="0089509B" w:rsidRDefault="0089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2"/>
      <w:numFmt w:val="bullet"/>
      <w:lvlText w:val=""/>
      <w:lvlJc w:val="left"/>
      <w:pPr>
        <w:tabs>
          <w:tab w:val="num" w:pos="357"/>
        </w:tabs>
        <w:ind w:left="357" w:hanging="357"/>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sz w:val="22"/>
        <w:szCs w:val="22"/>
      </w:rPr>
    </w:lvl>
  </w:abstractNum>
  <w:abstractNum w:abstractNumId="4">
    <w:nsid w:val="10F9415D"/>
    <w:multiLevelType w:val="hybridMultilevel"/>
    <w:tmpl w:val="2AAC70D4"/>
    <w:lvl w:ilvl="0" w:tplc="041F0001">
      <w:start w:val="1"/>
      <w:numFmt w:val="bullet"/>
      <w:lvlText w:val=""/>
      <w:lvlJc w:val="left"/>
      <w:pPr>
        <w:tabs>
          <w:tab w:val="num" w:pos="360"/>
        </w:tabs>
        <w:ind w:left="360" w:hanging="360"/>
      </w:pPr>
      <w:rPr>
        <w:rFonts w:ascii="Symbol" w:hAnsi="Symbol" w:cs="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17553D62"/>
    <w:multiLevelType w:val="hybridMultilevel"/>
    <w:tmpl w:val="190079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D48156F"/>
    <w:multiLevelType w:val="hybridMultilevel"/>
    <w:tmpl w:val="D144B05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nsid w:val="264B57B2"/>
    <w:multiLevelType w:val="hybridMultilevel"/>
    <w:tmpl w:val="1C8CB0A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8">
    <w:nsid w:val="378D4AAB"/>
    <w:multiLevelType w:val="hybridMultilevel"/>
    <w:tmpl w:val="8D1CFC1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9">
    <w:nsid w:val="43845A89"/>
    <w:multiLevelType w:val="hybridMultilevel"/>
    <w:tmpl w:val="FB36117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0">
    <w:nsid w:val="6EBB4C23"/>
    <w:multiLevelType w:val="hybridMultilevel"/>
    <w:tmpl w:val="19EAA518"/>
    <w:lvl w:ilvl="0" w:tplc="041F0001">
      <w:start w:val="1"/>
      <w:numFmt w:val="bullet"/>
      <w:lvlText w:val=""/>
      <w:lvlJc w:val="left"/>
      <w:pPr>
        <w:tabs>
          <w:tab w:val="num" w:pos="360"/>
        </w:tabs>
        <w:ind w:left="360" w:hanging="360"/>
      </w:pPr>
      <w:rPr>
        <w:rFonts w:ascii="Symbol" w:hAnsi="Symbol" w:cs="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cs="Wingdings" w:hint="default"/>
      </w:rPr>
    </w:lvl>
    <w:lvl w:ilvl="3" w:tplc="041F0001" w:tentative="1">
      <w:start w:val="1"/>
      <w:numFmt w:val="bullet"/>
      <w:lvlText w:val=""/>
      <w:lvlJc w:val="left"/>
      <w:pPr>
        <w:tabs>
          <w:tab w:val="num" w:pos="2520"/>
        </w:tabs>
        <w:ind w:left="2520" w:hanging="360"/>
      </w:pPr>
      <w:rPr>
        <w:rFonts w:ascii="Symbol" w:hAnsi="Symbol" w:cs="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cs="Wingdings" w:hint="default"/>
      </w:rPr>
    </w:lvl>
    <w:lvl w:ilvl="6" w:tplc="041F0001" w:tentative="1">
      <w:start w:val="1"/>
      <w:numFmt w:val="bullet"/>
      <w:lvlText w:val=""/>
      <w:lvlJc w:val="left"/>
      <w:pPr>
        <w:tabs>
          <w:tab w:val="num" w:pos="4680"/>
        </w:tabs>
        <w:ind w:left="4680" w:hanging="360"/>
      </w:pPr>
      <w:rPr>
        <w:rFonts w:ascii="Symbol" w:hAnsi="Symbol" w:cs="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74D3125C"/>
    <w:multiLevelType w:val="hybridMultilevel"/>
    <w:tmpl w:val="1C901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9"/>
  </w:num>
  <w:num w:numId="7">
    <w:abstractNumId w:val="3"/>
  </w:num>
  <w:num w:numId="8">
    <w:abstractNumId w:val="11"/>
  </w:num>
  <w:num w:numId="9">
    <w:abstractNumId w:val="1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962"/>
    <w:rsid w:val="00006C88"/>
    <w:rsid w:val="000136F6"/>
    <w:rsid w:val="00015AC3"/>
    <w:rsid w:val="000169A7"/>
    <w:rsid w:val="000169E4"/>
    <w:rsid w:val="00017D5E"/>
    <w:rsid w:val="00027CDA"/>
    <w:rsid w:val="00032BA0"/>
    <w:rsid w:val="000332E6"/>
    <w:rsid w:val="000374C1"/>
    <w:rsid w:val="000428CD"/>
    <w:rsid w:val="000521A7"/>
    <w:rsid w:val="00052683"/>
    <w:rsid w:val="00062F4C"/>
    <w:rsid w:val="000660E8"/>
    <w:rsid w:val="00082E4A"/>
    <w:rsid w:val="000A399E"/>
    <w:rsid w:val="000B5152"/>
    <w:rsid w:val="000B57DC"/>
    <w:rsid w:val="000C3855"/>
    <w:rsid w:val="000C50A5"/>
    <w:rsid w:val="000D633E"/>
    <w:rsid w:val="000E3B64"/>
    <w:rsid w:val="000E3E1C"/>
    <w:rsid w:val="000F3480"/>
    <w:rsid w:val="001035EF"/>
    <w:rsid w:val="00114CED"/>
    <w:rsid w:val="0011661E"/>
    <w:rsid w:val="00122497"/>
    <w:rsid w:val="0012311C"/>
    <w:rsid w:val="00137C77"/>
    <w:rsid w:val="001406D9"/>
    <w:rsid w:val="001438AE"/>
    <w:rsid w:val="0014591A"/>
    <w:rsid w:val="001516B4"/>
    <w:rsid w:val="00151E19"/>
    <w:rsid w:val="00163F7E"/>
    <w:rsid w:val="00174A38"/>
    <w:rsid w:val="00175D62"/>
    <w:rsid w:val="00183EE1"/>
    <w:rsid w:val="001852A7"/>
    <w:rsid w:val="00185829"/>
    <w:rsid w:val="00186A9D"/>
    <w:rsid w:val="00195F38"/>
    <w:rsid w:val="001960C8"/>
    <w:rsid w:val="001A0FD8"/>
    <w:rsid w:val="001A1C70"/>
    <w:rsid w:val="001A59F4"/>
    <w:rsid w:val="001A7991"/>
    <w:rsid w:val="001B45BD"/>
    <w:rsid w:val="001C5200"/>
    <w:rsid w:val="001C79AA"/>
    <w:rsid w:val="001D2578"/>
    <w:rsid w:val="001E473D"/>
    <w:rsid w:val="001E7F62"/>
    <w:rsid w:val="001F5426"/>
    <w:rsid w:val="001F64C7"/>
    <w:rsid w:val="00207A74"/>
    <w:rsid w:val="002139D5"/>
    <w:rsid w:val="00220949"/>
    <w:rsid w:val="00221353"/>
    <w:rsid w:val="00221F8C"/>
    <w:rsid w:val="00236B33"/>
    <w:rsid w:val="002400C0"/>
    <w:rsid w:val="002615A6"/>
    <w:rsid w:val="00261D77"/>
    <w:rsid w:val="00261DAA"/>
    <w:rsid w:val="00293926"/>
    <w:rsid w:val="0029472B"/>
    <w:rsid w:val="002A0999"/>
    <w:rsid w:val="002A4BBB"/>
    <w:rsid w:val="002B265A"/>
    <w:rsid w:val="002B4103"/>
    <w:rsid w:val="002C647C"/>
    <w:rsid w:val="002C7707"/>
    <w:rsid w:val="002D00E3"/>
    <w:rsid w:val="002D0730"/>
    <w:rsid w:val="002D674C"/>
    <w:rsid w:val="002E1A2C"/>
    <w:rsid w:val="002F2EA1"/>
    <w:rsid w:val="002F6362"/>
    <w:rsid w:val="00303E42"/>
    <w:rsid w:val="003045F6"/>
    <w:rsid w:val="00304AD1"/>
    <w:rsid w:val="003064F1"/>
    <w:rsid w:val="00321E97"/>
    <w:rsid w:val="003527E5"/>
    <w:rsid w:val="0037530C"/>
    <w:rsid w:val="0037733B"/>
    <w:rsid w:val="003910EF"/>
    <w:rsid w:val="00395AEB"/>
    <w:rsid w:val="00395C01"/>
    <w:rsid w:val="003B3464"/>
    <w:rsid w:val="003C5C37"/>
    <w:rsid w:val="0041029C"/>
    <w:rsid w:val="00414445"/>
    <w:rsid w:val="00416606"/>
    <w:rsid w:val="0042729A"/>
    <w:rsid w:val="004302AD"/>
    <w:rsid w:val="00430496"/>
    <w:rsid w:val="00430919"/>
    <w:rsid w:val="00440377"/>
    <w:rsid w:val="004554E6"/>
    <w:rsid w:val="00466409"/>
    <w:rsid w:val="00466DAD"/>
    <w:rsid w:val="00466F1C"/>
    <w:rsid w:val="00474BD8"/>
    <w:rsid w:val="004773AF"/>
    <w:rsid w:val="0048022B"/>
    <w:rsid w:val="00485589"/>
    <w:rsid w:val="00487505"/>
    <w:rsid w:val="0048788F"/>
    <w:rsid w:val="00490F3E"/>
    <w:rsid w:val="004926DD"/>
    <w:rsid w:val="00494B6B"/>
    <w:rsid w:val="00494E91"/>
    <w:rsid w:val="004A240A"/>
    <w:rsid w:val="004C0CA4"/>
    <w:rsid w:val="004C490B"/>
    <w:rsid w:val="004C57C9"/>
    <w:rsid w:val="004C5D81"/>
    <w:rsid w:val="004E3962"/>
    <w:rsid w:val="004E3E2E"/>
    <w:rsid w:val="004E5CB9"/>
    <w:rsid w:val="004F12CD"/>
    <w:rsid w:val="004F405A"/>
    <w:rsid w:val="004F5FBE"/>
    <w:rsid w:val="00504B07"/>
    <w:rsid w:val="00514A6A"/>
    <w:rsid w:val="00527919"/>
    <w:rsid w:val="0053170D"/>
    <w:rsid w:val="00533DFE"/>
    <w:rsid w:val="00534B80"/>
    <w:rsid w:val="00537052"/>
    <w:rsid w:val="005553F2"/>
    <w:rsid w:val="00561542"/>
    <w:rsid w:val="005620E3"/>
    <w:rsid w:val="0056516D"/>
    <w:rsid w:val="00565FAC"/>
    <w:rsid w:val="005715C8"/>
    <w:rsid w:val="005776A9"/>
    <w:rsid w:val="005862DE"/>
    <w:rsid w:val="005870D4"/>
    <w:rsid w:val="005B2229"/>
    <w:rsid w:val="005B2DD4"/>
    <w:rsid w:val="005C2DD4"/>
    <w:rsid w:val="005C7EBA"/>
    <w:rsid w:val="005F1D79"/>
    <w:rsid w:val="005F3B16"/>
    <w:rsid w:val="005F511E"/>
    <w:rsid w:val="00611CD3"/>
    <w:rsid w:val="00613F83"/>
    <w:rsid w:val="00617D34"/>
    <w:rsid w:val="00630826"/>
    <w:rsid w:val="00652635"/>
    <w:rsid w:val="00663F2E"/>
    <w:rsid w:val="0067224A"/>
    <w:rsid w:val="00681958"/>
    <w:rsid w:val="00684DDF"/>
    <w:rsid w:val="006915FB"/>
    <w:rsid w:val="00693484"/>
    <w:rsid w:val="00693AB6"/>
    <w:rsid w:val="006961FA"/>
    <w:rsid w:val="006A4302"/>
    <w:rsid w:val="006A48E2"/>
    <w:rsid w:val="006B7F17"/>
    <w:rsid w:val="006C1C87"/>
    <w:rsid w:val="006D35E9"/>
    <w:rsid w:val="006E411D"/>
    <w:rsid w:val="006E70CC"/>
    <w:rsid w:val="006F1193"/>
    <w:rsid w:val="006F2AB2"/>
    <w:rsid w:val="007058E4"/>
    <w:rsid w:val="00714180"/>
    <w:rsid w:val="00716A26"/>
    <w:rsid w:val="00717FB2"/>
    <w:rsid w:val="007218E3"/>
    <w:rsid w:val="0072260C"/>
    <w:rsid w:val="00724A8D"/>
    <w:rsid w:val="00730204"/>
    <w:rsid w:val="00735BE6"/>
    <w:rsid w:val="00752317"/>
    <w:rsid w:val="0076425C"/>
    <w:rsid w:val="00773ECF"/>
    <w:rsid w:val="007838B9"/>
    <w:rsid w:val="007A6026"/>
    <w:rsid w:val="007B0F47"/>
    <w:rsid w:val="007B2F96"/>
    <w:rsid w:val="007B7ECE"/>
    <w:rsid w:val="007D2B69"/>
    <w:rsid w:val="007D53C8"/>
    <w:rsid w:val="007D6E44"/>
    <w:rsid w:val="007E3664"/>
    <w:rsid w:val="007E4286"/>
    <w:rsid w:val="007E540B"/>
    <w:rsid w:val="007E5CAD"/>
    <w:rsid w:val="00805EFB"/>
    <w:rsid w:val="00812C94"/>
    <w:rsid w:val="00815B10"/>
    <w:rsid w:val="00831A24"/>
    <w:rsid w:val="00832099"/>
    <w:rsid w:val="00844707"/>
    <w:rsid w:val="00846EA7"/>
    <w:rsid w:val="00851BA8"/>
    <w:rsid w:val="00861424"/>
    <w:rsid w:val="00864AC2"/>
    <w:rsid w:val="00872669"/>
    <w:rsid w:val="00874E00"/>
    <w:rsid w:val="00876CF2"/>
    <w:rsid w:val="00881D6C"/>
    <w:rsid w:val="0089509B"/>
    <w:rsid w:val="008B3A1C"/>
    <w:rsid w:val="008B7D3C"/>
    <w:rsid w:val="0090603F"/>
    <w:rsid w:val="0090631C"/>
    <w:rsid w:val="009200BC"/>
    <w:rsid w:val="00925B89"/>
    <w:rsid w:val="0094123C"/>
    <w:rsid w:val="00944F45"/>
    <w:rsid w:val="00955768"/>
    <w:rsid w:val="00955E66"/>
    <w:rsid w:val="009575AE"/>
    <w:rsid w:val="00957AC3"/>
    <w:rsid w:val="00964058"/>
    <w:rsid w:val="00976932"/>
    <w:rsid w:val="0098008D"/>
    <w:rsid w:val="00981882"/>
    <w:rsid w:val="00981B57"/>
    <w:rsid w:val="009A1CED"/>
    <w:rsid w:val="009A399F"/>
    <w:rsid w:val="009A3F09"/>
    <w:rsid w:val="009B7718"/>
    <w:rsid w:val="009C4768"/>
    <w:rsid w:val="009C7DA0"/>
    <w:rsid w:val="009E3876"/>
    <w:rsid w:val="009F5328"/>
    <w:rsid w:val="00A03B6D"/>
    <w:rsid w:val="00A06274"/>
    <w:rsid w:val="00A14616"/>
    <w:rsid w:val="00A148B3"/>
    <w:rsid w:val="00A16D99"/>
    <w:rsid w:val="00A316AA"/>
    <w:rsid w:val="00A319F3"/>
    <w:rsid w:val="00A359F9"/>
    <w:rsid w:val="00A411CB"/>
    <w:rsid w:val="00A41BF8"/>
    <w:rsid w:val="00A46A3E"/>
    <w:rsid w:val="00A66375"/>
    <w:rsid w:val="00A67508"/>
    <w:rsid w:val="00A725A8"/>
    <w:rsid w:val="00A73E0C"/>
    <w:rsid w:val="00A744F6"/>
    <w:rsid w:val="00A75F42"/>
    <w:rsid w:val="00A80294"/>
    <w:rsid w:val="00A978F5"/>
    <w:rsid w:val="00AA76B6"/>
    <w:rsid w:val="00AB6CF4"/>
    <w:rsid w:val="00AC39C8"/>
    <w:rsid w:val="00AF40ED"/>
    <w:rsid w:val="00B02B7A"/>
    <w:rsid w:val="00B0723C"/>
    <w:rsid w:val="00B24209"/>
    <w:rsid w:val="00B33ED8"/>
    <w:rsid w:val="00B40544"/>
    <w:rsid w:val="00B4555D"/>
    <w:rsid w:val="00B644A5"/>
    <w:rsid w:val="00B70749"/>
    <w:rsid w:val="00B71B99"/>
    <w:rsid w:val="00B738DA"/>
    <w:rsid w:val="00B948CD"/>
    <w:rsid w:val="00B96196"/>
    <w:rsid w:val="00B975CE"/>
    <w:rsid w:val="00BA1AC4"/>
    <w:rsid w:val="00BB15E7"/>
    <w:rsid w:val="00BB476E"/>
    <w:rsid w:val="00BB6052"/>
    <w:rsid w:val="00BC1BA8"/>
    <w:rsid w:val="00BC29DD"/>
    <w:rsid w:val="00BE4197"/>
    <w:rsid w:val="00BE7FDA"/>
    <w:rsid w:val="00C040C7"/>
    <w:rsid w:val="00C10D7D"/>
    <w:rsid w:val="00C10FB5"/>
    <w:rsid w:val="00C16379"/>
    <w:rsid w:val="00C21479"/>
    <w:rsid w:val="00C25970"/>
    <w:rsid w:val="00C43463"/>
    <w:rsid w:val="00C45450"/>
    <w:rsid w:val="00C53DDD"/>
    <w:rsid w:val="00C54453"/>
    <w:rsid w:val="00C544E8"/>
    <w:rsid w:val="00C56513"/>
    <w:rsid w:val="00C6599F"/>
    <w:rsid w:val="00C67E68"/>
    <w:rsid w:val="00C72EAC"/>
    <w:rsid w:val="00C73A25"/>
    <w:rsid w:val="00C73E5F"/>
    <w:rsid w:val="00C752EC"/>
    <w:rsid w:val="00C95116"/>
    <w:rsid w:val="00CB373B"/>
    <w:rsid w:val="00CC247E"/>
    <w:rsid w:val="00CD2793"/>
    <w:rsid w:val="00CD77A1"/>
    <w:rsid w:val="00CE0A92"/>
    <w:rsid w:val="00CF107C"/>
    <w:rsid w:val="00CF26EE"/>
    <w:rsid w:val="00D16698"/>
    <w:rsid w:val="00D21BCB"/>
    <w:rsid w:val="00D3097F"/>
    <w:rsid w:val="00D36E45"/>
    <w:rsid w:val="00D445EF"/>
    <w:rsid w:val="00D77D06"/>
    <w:rsid w:val="00D8010D"/>
    <w:rsid w:val="00D805C3"/>
    <w:rsid w:val="00D96C0D"/>
    <w:rsid w:val="00DB2BBF"/>
    <w:rsid w:val="00DB5392"/>
    <w:rsid w:val="00DB5F06"/>
    <w:rsid w:val="00DC0FDF"/>
    <w:rsid w:val="00DC1958"/>
    <w:rsid w:val="00DC3552"/>
    <w:rsid w:val="00DC4C72"/>
    <w:rsid w:val="00DD5AA0"/>
    <w:rsid w:val="00DE4151"/>
    <w:rsid w:val="00DE79F3"/>
    <w:rsid w:val="00DF01F7"/>
    <w:rsid w:val="00DF2315"/>
    <w:rsid w:val="00DF7E36"/>
    <w:rsid w:val="00E03547"/>
    <w:rsid w:val="00E23A6B"/>
    <w:rsid w:val="00E3353B"/>
    <w:rsid w:val="00E459F2"/>
    <w:rsid w:val="00E47F4B"/>
    <w:rsid w:val="00E57B02"/>
    <w:rsid w:val="00E57F3E"/>
    <w:rsid w:val="00E6300F"/>
    <w:rsid w:val="00E6635C"/>
    <w:rsid w:val="00E77B02"/>
    <w:rsid w:val="00E86A28"/>
    <w:rsid w:val="00E86B0C"/>
    <w:rsid w:val="00E950E9"/>
    <w:rsid w:val="00EA3989"/>
    <w:rsid w:val="00EA54B4"/>
    <w:rsid w:val="00EB77DE"/>
    <w:rsid w:val="00ED57E7"/>
    <w:rsid w:val="00EF1BB6"/>
    <w:rsid w:val="00EF3E21"/>
    <w:rsid w:val="00EF4353"/>
    <w:rsid w:val="00F04E70"/>
    <w:rsid w:val="00F06C9F"/>
    <w:rsid w:val="00F06CCA"/>
    <w:rsid w:val="00F121D3"/>
    <w:rsid w:val="00F1476B"/>
    <w:rsid w:val="00F16237"/>
    <w:rsid w:val="00F30763"/>
    <w:rsid w:val="00F40EE3"/>
    <w:rsid w:val="00F54F54"/>
    <w:rsid w:val="00F55459"/>
    <w:rsid w:val="00F64262"/>
    <w:rsid w:val="00F80794"/>
    <w:rsid w:val="00F80EED"/>
    <w:rsid w:val="00F9241F"/>
    <w:rsid w:val="00F943A9"/>
    <w:rsid w:val="00F95797"/>
    <w:rsid w:val="00FA4970"/>
    <w:rsid w:val="00FB63A0"/>
    <w:rsid w:val="00FD2D67"/>
    <w:rsid w:val="00FD5DDC"/>
    <w:rsid w:val="00FD6868"/>
    <w:rsid w:val="00FE0812"/>
    <w:rsid w:val="00FE1AD3"/>
    <w:rsid w:val="00FE1C57"/>
    <w:rsid w:val="00FE2838"/>
    <w:rsid w:val="00FE581E"/>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59"/>
    <w:pPr>
      <w:suppressAutoHyphens/>
    </w:pPr>
    <w:rPr>
      <w:sz w:val="24"/>
      <w:szCs w:val="24"/>
      <w:lang w:eastAsia="ar-SA"/>
    </w:rPr>
  </w:style>
  <w:style w:type="paragraph" w:styleId="Heading3">
    <w:name w:val="heading 3"/>
    <w:basedOn w:val="Normal"/>
    <w:next w:val="Normal"/>
    <w:link w:val="Heading3Char"/>
    <w:uiPriority w:val="99"/>
    <w:qFormat/>
    <w:rsid w:val="00DD5AA0"/>
    <w:pPr>
      <w:keepNext/>
      <w:numPr>
        <w:ilvl w:val="2"/>
        <w:numId w:val="1"/>
      </w:numP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A316AA"/>
    <w:rPr>
      <w:rFonts w:ascii="Cambria" w:hAnsi="Cambria" w:cs="Cambria"/>
      <w:b/>
      <w:bCs/>
      <w:sz w:val="26"/>
      <w:szCs w:val="26"/>
      <w:lang w:eastAsia="ar-SA" w:bidi="ar-SA"/>
    </w:rPr>
  </w:style>
  <w:style w:type="character" w:customStyle="1" w:styleId="WW8Num2z0">
    <w:name w:val="WW8Num2z0"/>
    <w:uiPriority w:val="99"/>
    <w:rsid w:val="00DD5AA0"/>
    <w:rPr>
      <w:rFonts w:ascii="Symbol" w:hAnsi="Symbol" w:cs="Symbol"/>
    </w:rPr>
  </w:style>
  <w:style w:type="character" w:customStyle="1" w:styleId="WW8Num3z0">
    <w:name w:val="WW8Num3z0"/>
    <w:uiPriority w:val="99"/>
    <w:rsid w:val="00DD5AA0"/>
    <w:rPr>
      <w:rFonts w:ascii="Symbol" w:hAnsi="Symbol" w:cs="Symbol"/>
    </w:rPr>
  </w:style>
  <w:style w:type="character" w:customStyle="1" w:styleId="Absatz-Standardschriftart">
    <w:name w:val="Absatz-Standardschriftart"/>
    <w:uiPriority w:val="99"/>
    <w:rsid w:val="00DD5AA0"/>
  </w:style>
  <w:style w:type="character" w:customStyle="1" w:styleId="WW-Absatz-Standardschriftart">
    <w:name w:val="WW-Absatz-Standardschriftart"/>
    <w:uiPriority w:val="99"/>
    <w:rsid w:val="00DD5AA0"/>
  </w:style>
  <w:style w:type="character" w:customStyle="1" w:styleId="WW-Absatz-Standardschriftart1">
    <w:name w:val="WW-Absatz-Standardschriftart1"/>
    <w:uiPriority w:val="99"/>
    <w:rsid w:val="00DD5AA0"/>
  </w:style>
  <w:style w:type="character" w:customStyle="1" w:styleId="WW-Absatz-Standardschriftart11">
    <w:name w:val="WW-Absatz-Standardschriftart11"/>
    <w:uiPriority w:val="99"/>
    <w:rsid w:val="00DD5AA0"/>
  </w:style>
  <w:style w:type="character" w:customStyle="1" w:styleId="VarsaylanParagrafYazTipi2">
    <w:name w:val="Varsayılan Paragraf Yazı Tipi2"/>
    <w:uiPriority w:val="99"/>
    <w:rsid w:val="00DD5AA0"/>
  </w:style>
  <w:style w:type="character" w:customStyle="1" w:styleId="WW-Absatz-Standardschriftart111">
    <w:name w:val="WW-Absatz-Standardschriftart111"/>
    <w:uiPriority w:val="99"/>
    <w:rsid w:val="00DD5AA0"/>
  </w:style>
  <w:style w:type="character" w:customStyle="1" w:styleId="WW-Absatz-Standardschriftart1111">
    <w:name w:val="WW-Absatz-Standardschriftart1111"/>
    <w:uiPriority w:val="99"/>
    <w:rsid w:val="00DD5AA0"/>
  </w:style>
  <w:style w:type="character" w:customStyle="1" w:styleId="DefaultParagraphFont1">
    <w:name w:val="Default Paragraph Font1"/>
    <w:uiPriority w:val="99"/>
    <w:rsid w:val="00DD5AA0"/>
  </w:style>
  <w:style w:type="character" w:customStyle="1" w:styleId="WW-Absatz-Standardschriftart11111">
    <w:name w:val="WW-Absatz-Standardschriftart11111"/>
    <w:uiPriority w:val="99"/>
    <w:rsid w:val="00DD5AA0"/>
  </w:style>
  <w:style w:type="character" w:customStyle="1" w:styleId="WW-Absatz-Standardschriftart111111">
    <w:name w:val="WW-Absatz-Standardschriftart111111"/>
    <w:uiPriority w:val="99"/>
    <w:rsid w:val="00DD5AA0"/>
  </w:style>
  <w:style w:type="character" w:customStyle="1" w:styleId="WW-Absatz-Standardschriftart1111111">
    <w:name w:val="WW-Absatz-Standardschriftart1111111"/>
    <w:uiPriority w:val="99"/>
    <w:rsid w:val="00DD5AA0"/>
  </w:style>
  <w:style w:type="character" w:customStyle="1" w:styleId="WW8Num1z0">
    <w:name w:val="WW8Num1z0"/>
    <w:uiPriority w:val="99"/>
    <w:rsid w:val="00DD5AA0"/>
    <w:rPr>
      <w:rFonts w:ascii="Symbol" w:hAnsi="Symbol" w:cs="Symbol"/>
    </w:rPr>
  </w:style>
  <w:style w:type="character" w:customStyle="1" w:styleId="WW8Num1z1">
    <w:name w:val="WW8Num1z1"/>
    <w:uiPriority w:val="99"/>
    <w:rsid w:val="00DD5AA0"/>
    <w:rPr>
      <w:rFonts w:ascii="Courier New" w:hAnsi="Courier New" w:cs="Courier New"/>
    </w:rPr>
  </w:style>
  <w:style w:type="character" w:customStyle="1" w:styleId="WW8Num1z2">
    <w:name w:val="WW8Num1z2"/>
    <w:uiPriority w:val="99"/>
    <w:rsid w:val="00DD5AA0"/>
    <w:rPr>
      <w:rFonts w:ascii="Wingdings" w:hAnsi="Wingdings" w:cs="Wingdings"/>
    </w:rPr>
  </w:style>
  <w:style w:type="character" w:customStyle="1" w:styleId="WW8Num1z3">
    <w:name w:val="WW8Num1z3"/>
    <w:uiPriority w:val="99"/>
    <w:rsid w:val="00DD5AA0"/>
    <w:rPr>
      <w:rFonts w:ascii="Symbol" w:hAnsi="Symbol" w:cs="Symbol"/>
    </w:rPr>
  </w:style>
  <w:style w:type="character" w:customStyle="1" w:styleId="WW8Num2z1">
    <w:name w:val="WW8Num2z1"/>
    <w:uiPriority w:val="99"/>
    <w:rsid w:val="00DD5AA0"/>
    <w:rPr>
      <w:rFonts w:ascii="Courier New" w:hAnsi="Courier New" w:cs="Courier New"/>
    </w:rPr>
  </w:style>
  <w:style w:type="character" w:customStyle="1" w:styleId="WW8Num2z2">
    <w:name w:val="WW8Num2z2"/>
    <w:uiPriority w:val="99"/>
    <w:rsid w:val="00DD5AA0"/>
    <w:rPr>
      <w:rFonts w:ascii="Wingdings" w:hAnsi="Wingdings" w:cs="Wingdings"/>
    </w:rPr>
  </w:style>
  <w:style w:type="character" w:customStyle="1" w:styleId="VarsaylanParagrafYazTipi1">
    <w:name w:val="Varsayılan Paragraf Yazı Tipi1"/>
    <w:uiPriority w:val="99"/>
    <w:rsid w:val="00DD5AA0"/>
  </w:style>
  <w:style w:type="character" w:styleId="PageNumber">
    <w:name w:val="page number"/>
    <w:basedOn w:val="VarsaylanParagrafYazTipi1"/>
    <w:uiPriority w:val="99"/>
    <w:semiHidden/>
    <w:rsid w:val="00DD5AA0"/>
  </w:style>
  <w:style w:type="character" w:customStyle="1" w:styleId="NumaralamaSimgeleri">
    <w:name w:val="Numaralama Simgeleri"/>
    <w:uiPriority w:val="99"/>
    <w:rsid w:val="00DD5AA0"/>
  </w:style>
  <w:style w:type="paragraph" w:customStyle="1" w:styleId="Balk">
    <w:name w:val="Başlık"/>
    <w:basedOn w:val="Normal"/>
    <w:next w:val="BodyText"/>
    <w:uiPriority w:val="99"/>
    <w:rsid w:val="00DD5AA0"/>
    <w:pPr>
      <w:keepNext/>
      <w:spacing w:before="240" w:after="120"/>
    </w:pPr>
    <w:rPr>
      <w:rFonts w:ascii="Arial" w:hAnsi="Arial" w:cs="Arial"/>
      <w:sz w:val="28"/>
      <w:szCs w:val="28"/>
    </w:rPr>
  </w:style>
  <w:style w:type="paragraph" w:styleId="BodyText">
    <w:name w:val="Body Text"/>
    <w:basedOn w:val="Normal"/>
    <w:link w:val="BodyTextChar"/>
    <w:uiPriority w:val="99"/>
    <w:semiHidden/>
    <w:rsid w:val="00DD5AA0"/>
    <w:pPr>
      <w:spacing w:after="120"/>
    </w:pPr>
  </w:style>
  <w:style w:type="character" w:customStyle="1" w:styleId="BodyTextChar">
    <w:name w:val="Body Text Char"/>
    <w:link w:val="BodyText"/>
    <w:uiPriority w:val="99"/>
    <w:semiHidden/>
    <w:rsid w:val="00A316AA"/>
    <w:rPr>
      <w:sz w:val="24"/>
      <w:szCs w:val="24"/>
      <w:lang w:eastAsia="ar-SA" w:bidi="ar-SA"/>
    </w:rPr>
  </w:style>
  <w:style w:type="paragraph" w:styleId="List">
    <w:name w:val="List"/>
    <w:basedOn w:val="BodyText"/>
    <w:uiPriority w:val="99"/>
    <w:semiHidden/>
    <w:rsid w:val="00DD5AA0"/>
    <w:rPr>
      <w:rFonts w:ascii="Arial" w:hAnsi="Arial" w:cs="Arial"/>
    </w:rPr>
  </w:style>
  <w:style w:type="paragraph" w:customStyle="1" w:styleId="ResimYazs2">
    <w:name w:val="Resim Yazısı2"/>
    <w:basedOn w:val="Normal"/>
    <w:uiPriority w:val="99"/>
    <w:rsid w:val="00DD5AA0"/>
    <w:pPr>
      <w:suppressLineNumbers/>
      <w:spacing w:before="120" w:after="120"/>
    </w:pPr>
    <w:rPr>
      <w:rFonts w:ascii="Arial" w:hAnsi="Arial" w:cs="Arial"/>
      <w:i/>
      <w:iCs/>
    </w:rPr>
  </w:style>
  <w:style w:type="paragraph" w:customStyle="1" w:styleId="Dizin">
    <w:name w:val="Dizin"/>
    <w:basedOn w:val="Normal"/>
    <w:uiPriority w:val="99"/>
    <w:rsid w:val="00DD5AA0"/>
    <w:pPr>
      <w:suppressLineNumbers/>
    </w:pPr>
    <w:rPr>
      <w:rFonts w:ascii="Arial" w:hAnsi="Arial" w:cs="Arial"/>
    </w:rPr>
  </w:style>
  <w:style w:type="paragraph" w:customStyle="1" w:styleId="ResimYazs1">
    <w:name w:val="Resim Yazısı1"/>
    <w:basedOn w:val="Normal"/>
    <w:uiPriority w:val="99"/>
    <w:rsid w:val="00DD5AA0"/>
    <w:pPr>
      <w:suppressLineNumbers/>
      <w:spacing w:before="120" w:after="120"/>
    </w:pPr>
    <w:rPr>
      <w:rFonts w:ascii="Arial" w:hAnsi="Arial" w:cs="Arial"/>
      <w:i/>
      <w:iCs/>
    </w:rPr>
  </w:style>
  <w:style w:type="paragraph" w:styleId="Footer">
    <w:name w:val="footer"/>
    <w:basedOn w:val="Normal"/>
    <w:link w:val="FooterChar"/>
    <w:uiPriority w:val="99"/>
    <w:rsid w:val="00DD5AA0"/>
    <w:pPr>
      <w:tabs>
        <w:tab w:val="center" w:pos="4536"/>
        <w:tab w:val="right" w:pos="9072"/>
      </w:tabs>
    </w:pPr>
  </w:style>
  <w:style w:type="character" w:customStyle="1" w:styleId="FooterChar">
    <w:name w:val="Footer Char"/>
    <w:link w:val="Footer"/>
    <w:uiPriority w:val="99"/>
    <w:rsid w:val="00A316AA"/>
    <w:rPr>
      <w:sz w:val="24"/>
      <w:szCs w:val="24"/>
      <w:lang w:eastAsia="ar-SA" w:bidi="ar-SA"/>
    </w:rPr>
  </w:style>
  <w:style w:type="paragraph" w:customStyle="1" w:styleId="Tabloerii">
    <w:name w:val="Tablo İçeriği"/>
    <w:basedOn w:val="Normal"/>
    <w:uiPriority w:val="99"/>
    <w:rsid w:val="00DD5AA0"/>
    <w:pPr>
      <w:suppressLineNumbers/>
    </w:pPr>
  </w:style>
  <w:style w:type="paragraph" w:customStyle="1" w:styleId="TabloBal">
    <w:name w:val="Tablo Başlığı"/>
    <w:basedOn w:val="Tabloerii"/>
    <w:uiPriority w:val="99"/>
    <w:rsid w:val="00DD5AA0"/>
    <w:pPr>
      <w:jc w:val="center"/>
    </w:pPr>
    <w:rPr>
      <w:b/>
      <w:bCs/>
    </w:rPr>
  </w:style>
  <w:style w:type="paragraph" w:styleId="Header">
    <w:name w:val="header"/>
    <w:basedOn w:val="Normal"/>
    <w:link w:val="HeaderChar"/>
    <w:uiPriority w:val="99"/>
    <w:semiHidden/>
    <w:rsid w:val="00DD5AA0"/>
    <w:pPr>
      <w:tabs>
        <w:tab w:val="center" w:pos="4536"/>
        <w:tab w:val="right" w:pos="9072"/>
      </w:tabs>
    </w:pPr>
  </w:style>
  <w:style w:type="character" w:customStyle="1" w:styleId="HeaderChar">
    <w:name w:val="Header Char"/>
    <w:link w:val="Header"/>
    <w:uiPriority w:val="99"/>
    <w:semiHidden/>
    <w:rsid w:val="00A316AA"/>
    <w:rPr>
      <w:sz w:val="24"/>
      <w:szCs w:val="24"/>
      <w:lang w:eastAsia="ar-SA" w:bidi="ar-SA"/>
    </w:rPr>
  </w:style>
  <w:style w:type="character" w:customStyle="1" w:styleId="stbilgiChar">
    <w:name w:val="Üstbilgi Char"/>
    <w:uiPriority w:val="99"/>
    <w:semiHidden/>
    <w:rsid w:val="00DD5AA0"/>
    <w:rPr>
      <w:sz w:val="24"/>
      <w:szCs w:val="24"/>
      <w:lang w:eastAsia="ar-SA" w:bidi="ar-SA"/>
    </w:rPr>
  </w:style>
  <w:style w:type="paragraph" w:styleId="BalloonText">
    <w:name w:val="Balloon Text"/>
    <w:basedOn w:val="Normal"/>
    <w:link w:val="BalloonTextChar"/>
    <w:uiPriority w:val="99"/>
    <w:semiHidden/>
    <w:rsid w:val="00DD5AA0"/>
    <w:rPr>
      <w:rFonts w:ascii="Tahoma" w:hAnsi="Tahoma" w:cs="Tahoma"/>
      <w:sz w:val="16"/>
      <w:szCs w:val="16"/>
    </w:rPr>
  </w:style>
  <w:style w:type="character" w:customStyle="1" w:styleId="BalloonTextChar">
    <w:name w:val="Balloon Text Char"/>
    <w:link w:val="BalloonText"/>
    <w:uiPriority w:val="99"/>
    <w:semiHidden/>
    <w:rsid w:val="00A316AA"/>
    <w:rPr>
      <w:sz w:val="2"/>
      <w:szCs w:val="2"/>
      <w:lang w:eastAsia="ar-SA" w:bidi="ar-SA"/>
    </w:rPr>
  </w:style>
  <w:style w:type="character" w:customStyle="1" w:styleId="BalonMetniChar">
    <w:name w:val="Balon Metni Char"/>
    <w:uiPriority w:val="99"/>
    <w:semiHidden/>
    <w:rsid w:val="00DD5AA0"/>
    <w:rPr>
      <w:rFonts w:ascii="Tahoma" w:hAnsi="Tahoma" w:cs="Tahoma"/>
      <w:sz w:val="16"/>
      <w:szCs w:val="16"/>
      <w:lang w:eastAsia="ar-SA" w:bidi="ar-SA"/>
    </w:rPr>
  </w:style>
  <w:style w:type="paragraph" w:customStyle="1" w:styleId="Dzeltme">
    <w:name w:val="Düzeltme"/>
    <w:hidden/>
    <w:uiPriority w:val="99"/>
    <w:semiHidden/>
    <w:rsid w:val="00DD5AA0"/>
    <w:rPr>
      <w:sz w:val="24"/>
      <w:szCs w:val="24"/>
      <w:lang w:eastAsia="ar-SA"/>
    </w:rPr>
  </w:style>
  <w:style w:type="character" w:styleId="CommentReference">
    <w:name w:val="annotation reference"/>
    <w:uiPriority w:val="99"/>
    <w:semiHidden/>
    <w:rsid w:val="00DD5AA0"/>
    <w:rPr>
      <w:sz w:val="16"/>
      <w:szCs w:val="16"/>
    </w:rPr>
  </w:style>
  <w:style w:type="paragraph" w:styleId="CommentText">
    <w:name w:val="annotation text"/>
    <w:basedOn w:val="Normal"/>
    <w:link w:val="CommentTextChar"/>
    <w:uiPriority w:val="99"/>
    <w:semiHidden/>
    <w:rsid w:val="00DD5AA0"/>
    <w:rPr>
      <w:sz w:val="20"/>
      <w:szCs w:val="20"/>
    </w:rPr>
  </w:style>
  <w:style w:type="character" w:customStyle="1" w:styleId="CommentTextChar">
    <w:name w:val="Comment Text Char"/>
    <w:link w:val="CommentText"/>
    <w:uiPriority w:val="99"/>
    <w:semiHidden/>
    <w:rsid w:val="00A316AA"/>
    <w:rPr>
      <w:lang w:eastAsia="ar-SA" w:bidi="ar-SA"/>
    </w:rPr>
  </w:style>
  <w:style w:type="character" w:customStyle="1" w:styleId="AklamaMetniChar">
    <w:name w:val="Açıklama Metni Char"/>
    <w:uiPriority w:val="99"/>
    <w:semiHidden/>
    <w:rsid w:val="00DD5AA0"/>
    <w:rPr>
      <w:lang w:eastAsia="ar-SA" w:bidi="ar-SA"/>
    </w:rPr>
  </w:style>
  <w:style w:type="paragraph" w:styleId="CommentSubject">
    <w:name w:val="annotation subject"/>
    <w:basedOn w:val="CommentText"/>
    <w:next w:val="CommentText"/>
    <w:link w:val="CommentSubjectChar"/>
    <w:uiPriority w:val="99"/>
    <w:semiHidden/>
    <w:rsid w:val="00DD5AA0"/>
    <w:rPr>
      <w:b/>
      <w:bCs/>
    </w:rPr>
  </w:style>
  <w:style w:type="character" w:customStyle="1" w:styleId="CommentSubjectChar">
    <w:name w:val="Comment Subject Char"/>
    <w:link w:val="CommentSubject"/>
    <w:uiPriority w:val="99"/>
    <w:semiHidden/>
    <w:rsid w:val="00A316AA"/>
    <w:rPr>
      <w:b/>
      <w:bCs/>
      <w:lang w:eastAsia="ar-SA" w:bidi="ar-SA"/>
    </w:rPr>
  </w:style>
  <w:style w:type="character" w:customStyle="1" w:styleId="AklamaKonusuChar">
    <w:name w:val="Açıklama Konusu Char"/>
    <w:uiPriority w:val="99"/>
    <w:semiHidden/>
    <w:rsid w:val="00DD5AA0"/>
    <w:rPr>
      <w:b/>
      <w:bCs/>
      <w:lang w:eastAsia="ar-SA" w:bidi="ar-SA"/>
    </w:rPr>
  </w:style>
  <w:style w:type="character" w:customStyle="1" w:styleId="AltbilgiChar">
    <w:name w:val="Altbilgi Char"/>
    <w:uiPriority w:val="99"/>
    <w:semiHidden/>
    <w:rsid w:val="00DD5AA0"/>
    <w:rPr>
      <w:sz w:val="24"/>
      <w:szCs w:val="24"/>
      <w:lang w:eastAsia="ar-SA" w:bidi="ar-SA"/>
    </w:rPr>
  </w:style>
  <w:style w:type="paragraph" w:customStyle="1" w:styleId="BodyTextIndent21">
    <w:name w:val="Body Text Indent 21"/>
    <w:basedOn w:val="Normal"/>
    <w:uiPriority w:val="99"/>
    <w:rsid w:val="00F80EED"/>
    <w:pPr>
      <w:ind w:left="737"/>
      <w:jc w:val="both"/>
    </w:pPr>
    <w:rPr>
      <w:rFonts w:ascii="Arial" w:hAnsi="Arial" w:cs="Arial"/>
      <w:sz w:val="20"/>
      <w:szCs w:val="20"/>
    </w:rPr>
  </w:style>
  <w:style w:type="paragraph" w:styleId="BodyTextIndent2">
    <w:name w:val="Body Text Indent 2"/>
    <w:basedOn w:val="Normal"/>
    <w:link w:val="BodyTextIndent2Char"/>
    <w:uiPriority w:val="99"/>
    <w:rsid w:val="0090603F"/>
    <w:pPr>
      <w:spacing w:after="120" w:line="480" w:lineRule="auto"/>
      <w:ind w:left="360"/>
    </w:pPr>
  </w:style>
  <w:style w:type="character" w:customStyle="1" w:styleId="BodyTextIndent2Char">
    <w:name w:val="Body Text Indent 2 Char"/>
    <w:link w:val="BodyTextIndent2"/>
    <w:uiPriority w:val="99"/>
    <w:semiHidden/>
    <w:rsid w:val="00A316AA"/>
    <w:rPr>
      <w:sz w:val="24"/>
      <w:szCs w:val="24"/>
      <w:lang w:eastAsia="ar-SA" w:bidi="ar-SA"/>
    </w:rPr>
  </w:style>
  <w:style w:type="paragraph" w:customStyle="1" w:styleId="CharChar1">
    <w:name w:val="Char Char1"/>
    <w:basedOn w:val="Normal"/>
    <w:uiPriority w:val="99"/>
    <w:rsid w:val="00613F83"/>
    <w:pPr>
      <w:suppressAutoHyphens w:val="0"/>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0606">
      <w:marLeft w:val="0"/>
      <w:marRight w:val="0"/>
      <w:marTop w:val="0"/>
      <w:marBottom w:val="0"/>
      <w:divBdr>
        <w:top w:val="none" w:sz="0" w:space="0" w:color="auto"/>
        <w:left w:val="none" w:sz="0" w:space="0" w:color="auto"/>
        <w:bottom w:val="none" w:sz="0" w:space="0" w:color="auto"/>
        <w:right w:val="none" w:sz="0" w:space="0" w:color="auto"/>
      </w:divBdr>
    </w:div>
    <w:div w:id="513610607">
      <w:marLeft w:val="0"/>
      <w:marRight w:val="0"/>
      <w:marTop w:val="0"/>
      <w:marBottom w:val="0"/>
      <w:divBdr>
        <w:top w:val="none" w:sz="0" w:space="0" w:color="auto"/>
        <w:left w:val="none" w:sz="0" w:space="0" w:color="auto"/>
        <w:bottom w:val="none" w:sz="0" w:space="0" w:color="auto"/>
        <w:right w:val="none" w:sz="0" w:space="0" w:color="auto"/>
      </w:divBdr>
    </w:div>
    <w:div w:id="513610608">
      <w:marLeft w:val="0"/>
      <w:marRight w:val="0"/>
      <w:marTop w:val="0"/>
      <w:marBottom w:val="0"/>
      <w:divBdr>
        <w:top w:val="none" w:sz="0" w:space="0" w:color="auto"/>
        <w:left w:val="none" w:sz="0" w:space="0" w:color="auto"/>
        <w:bottom w:val="none" w:sz="0" w:space="0" w:color="auto"/>
        <w:right w:val="none" w:sz="0" w:space="0" w:color="auto"/>
      </w:divBdr>
    </w:div>
    <w:div w:id="513610609">
      <w:marLeft w:val="0"/>
      <w:marRight w:val="0"/>
      <w:marTop w:val="0"/>
      <w:marBottom w:val="0"/>
      <w:divBdr>
        <w:top w:val="none" w:sz="0" w:space="0" w:color="auto"/>
        <w:left w:val="none" w:sz="0" w:space="0" w:color="auto"/>
        <w:bottom w:val="none" w:sz="0" w:space="0" w:color="auto"/>
        <w:right w:val="none" w:sz="0" w:space="0" w:color="auto"/>
      </w:divBdr>
    </w:div>
    <w:div w:id="513610610">
      <w:marLeft w:val="0"/>
      <w:marRight w:val="0"/>
      <w:marTop w:val="0"/>
      <w:marBottom w:val="0"/>
      <w:divBdr>
        <w:top w:val="none" w:sz="0" w:space="0" w:color="auto"/>
        <w:left w:val="none" w:sz="0" w:space="0" w:color="auto"/>
        <w:bottom w:val="none" w:sz="0" w:space="0" w:color="auto"/>
        <w:right w:val="none" w:sz="0" w:space="0" w:color="auto"/>
      </w:divBdr>
    </w:div>
    <w:div w:id="513610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KISA ÜRÜN BİLGİSİ</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 ÜRÜN BİLGİSİ</dc:title>
  <dc:creator>caglarpc</dc:creator>
  <cp:lastModifiedBy>Tuba Aksoy</cp:lastModifiedBy>
  <cp:revision>10</cp:revision>
  <cp:lastPrinted>2012-01-04T07:01:00Z</cp:lastPrinted>
  <dcterms:created xsi:type="dcterms:W3CDTF">2011-04-13T08:25:00Z</dcterms:created>
  <dcterms:modified xsi:type="dcterms:W3CDTF">2012-01-04T07:01:00Z</dcterms:modified>
</cp:coreProperties>
</file>